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3"/>
        <w:ind w:left="0" w:leftChars="0"/>
        <w:rPr>
          <w:rFonts w:ascii="宋体" w:hAnsi="宋体" w:eastAsia="宋体"/>
        </w:rPr>
      </w:pPr>
    </w:p>
    <w:p>
      <w:pPr>
        <w:widowControl/>
        <w:jc w:val="left"/>
        <w:rPr>
          <w:rFonts w:ascii="宋体" w:hAnsi="宋体" w:eastAsia="宋体"/>
        </w:rPr>
      </w:pPr>
    </w:p>
    <w:p>
      <w:pPr>
        <w:pStyle w:val="20"/>
        <w:ind w:firstLine="0"/>
        <w:jc w:val="center"/>
        <w:rPr>
          <w:rFonts w:ascii="宋体" w:hAnsi="宋体"/>
          <w:b/>
          <w:bCs/>
          <w:sz w:val="52"/>
          <w:szCs w:val="52"/>
        </w:rPr>
      </w:pPr>
      <w:r>
        <w:rPr>
          <w:rFonts w:hint="eastAsia" w:ascii="宋体" w:hAnsi="宋体"/>
          <w:b/>
          <w:bCs/>
          <w:sz w:val="52"/>
          <w:szCs w:val="52"/>
          <w:lang w:eastAsia="zh-CN"/>
        </w:rPr>
        <w:t>南通开发区星湖小学电梯维护保养项目（二次）</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jc w:val="center"/>
        <w:rPr>
          <w:rFonts w:ascii="宋体" w:hAnsi="宋体"/>
          <w:b/>
          <w:bCs/>
          <w:sz w:val="32"/>
        </w:rPr>
      </w:pPr>
    </w:p>
    <w:p>
      <w:pPr>
        <w:pStyle w:val="20"/>
        <w:ind w:firstLine="1372" w:firstLineChars="427"/>
        <w:jc w:val="center"/>
        <w:rPr>
          <w:rFonts w:ascii="宋体" w:hAnsi="宋体"/>
          <w:b/>
          <w:bCs/>
          <w:sz w:val="32"/>
        </w:rPr>
      </w:pPr>
    </w:p>
    <w:p>
      <w:pPr>
        <w:pStyle w:val="20"/>
        <w:ind w:firstLine="1372" w:firstLineChars="427"/>
        <w:jc w:val="center"/>
        <w:rPr>
          <w:rFonts w:ascii="宋体" w:hAnsi="宋体"/>
          <w:b/>
          <w:bCs/>
          <w:sz w:val="32"/>
        </w:rPr>
      </w:pPr>
    </w:p>
    <w:p>
      <w:pPr>
        <w:pStyle w:val="20"/>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7"/>
        <w:spacing w:line="360" w:lineRule="auto"/>
        <w:ind w:firstLine="560"/>
        <w:jc w:val="center"/>
        <w:rPr>
          <w:rFonts w:ascii="宋体" w:hAnsi="宋体"/>
          <w:b/>
          <w:sz w:val="28"/>
          <w:szCs w:val="24"/>
        </w:rPr>
      </w:pPr>
    </w:p>
    <w:p>
      <w:pPr>
        <w:pStyle w:val="7"/>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23</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南通开发区星湖小学电梯维护保养项目（二次）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星湖小学电梯维护保养项目（二次）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4"/>
          <w:rFonts w:hint="eastAsia" w:ascii="宋体" w:hAnsi="宋体" w:eastAsia="宋体"/>
          <w:sz w:val="24"/>
          <w:szCs w:val="24"/>
          <w:highlight w:val="none"/>
        </w:rPr>
        <w:t>http://www.ntkfqjy.com/），下载询价文件，并于202</w:t>
      </w:r>
      <w:r>
        <w:rPr>
          <w:rStyle w:val="14"/>
          <w:rFonts w:hint="eastAsia" w:ascii="宋体" w:hAnsi="宋体" w:eastAsia="宋体"/>
          <w:sz w:val="24"/>
          <w:szCs w:val="24"/>
          <w:highlight w:val="none"/>
          <w:lang w:val="en-US" w:eastAsia="zh-CN"/>
        </w:rPr>
        <w:t>4</w:t>
      </w:r>
      <w:r>
        <w:rPr>
          <w:rStyle w:val="14"/>
          <w:rFonts w:hint="eastAsia" w:ascii="宋体" w:hAnsi="宋体" w:eastAsia="宋体"/>
          <w:bCs/>
          <w:sz w:val="24"/>
          <w:szCs w:val="24"/>
          <w:highlight w:val="none"/>
        </w:rPr>
        <w:t>年</w:t>
      </w:r>
      <w:r>
        <w:rPr>
          <w:rStyle w:val="14"/>
          <w:rFonts w:hint="eastAsia" w:ascii="宋体" w:hAnsi="宋体" w:eastAsia="宋体"/>
          <w:bCs/>
          <w:sz w:val="24"/>
          <w:szCs w:val="24"/>
          <w:highlight w:val="none"/>
          <w:lang w:val="en-US" w:eastAsia="zh-CN"/>
        </w:rPr>
        <w:t>8</w:t>
      </w:r>
      <w:r>
        <w:rPr>
          <w:rStyle w:val="14"/>
          <w:rFonts w:hint="eastAsia" w:ascii="宋体" w:hAnsi="宋体" w:eastAsia="宋体"/>
          <w:bCs/>
          <w:sz w:val="24"/>
          <w:szCs w:val="24"/>
          <w:highlight w:val="none"/>
        </w:rPr>
        <w:t>月</w:t>
      </w:r>
      <w:r>
        <w:rPr>
          <w:rStyle w:val="14"/>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星湖小学电梯维护保养项目（二次）</w:t>
      </w:r>
      <w:r>
        <w:rPr>
          <w:rFonts w:hint="eastAsia" w:ascii="宋体" w:hAnsi="宋体" w:eastAsia="宋体" w:cs="仿宋"/>
          <w:sz w:val="24"/>
          <w:szCs w:val="24"/>
        </w:rPr>
        <w:t>实施询价采购，欢迎符合条件的供应商参加。</w:t>
      </w:r>
    </w:p>
    <w:p>
      <w:pPr>
        <w:pStyle w:val="5"/>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南通开发区星湖小学电梯维护保养项目（二次）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1.8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星湖小学4台电梯的运行维护和日常保养</w:t>
      </w:r>
      <w:r>
        <w:rPr>
          <w:rFonts w:hint="eastAsia" w:ascii="宋体" w:hAnsi="宋体" w:eastAsia="宋体"/>
          <w:sz w:val="24"/>
          <w:szCs w:val="24"/>
        </w:rPr>
        <w:t>，详见附件。</w:t>
      </w:r>
    </w:p>
    <w:p>
      <w:pPr>
        <w:widowControl/>
        <w:snapToGrid w:val="0"/>
        <w:spacing w:line="440" w:lineRule="exact"/>
        <w:ind w:firstLine="480" w:firstLineChars="200"/>
        <w:jc w:val="left"/>
        <w:rPr>
          <w:rFonts w:hint="eastAsia" w:ascii="宋体" w:hAnsi="宋体" w:eastAsia="宋体"/>
          <w:sz w:val="24"/>
          <w:szCs w:val="24"/>
          <w:lang w:val="en-US" w:eastAsia="zh-CN"/>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合同履行期限：服务期三年，但合同一年一签。一年合同期满后，采购人对合同期内的服务履约情况满意的，则在第一年合同期满时，且双方愿意，成交供应商承诺不增加服务费用的前提下，双方可续签下一年度合同，但最多续签两次。如成交供应商在合同期内年度综合考核未达到采购人要求，则采购人不再与成交供应商续签合同，重新招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29日9点00分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29日9点00分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r>
        <w:rPr>
          <w:rFonts w:hint="eastAsia" w:cs="Times New Roman"/>
          <w:bCs/>
          <w:kern w:val="2"/>
          <w:lang w:val="en-US" w:eastAsia="zh-CN"/>
        </w:rPr>
        <w:t xml:space="preserve">  </w:t>
      </w:r>
      <w:r>
        <w:rPr>
          <w:rFonts w:hint="eastAsia" w:cs="Times New Roman"/>
          <w:b/>
          <w:bCs/>
          <w:kern w:val="2"/>
        </w:rPr>
        <w:t>联系电话：</w:t>
      </w:r>
      <w:r>
        <w:rPr>
          <w:rFonts w:hint="eastAsia" w:cs="宋体"/>
          <w:sz w:val="24"/>
          <w:szCs w:val="24"/>
          <w:lang w:val="en-US" w:eastAsia="zh-CN"/>
        </w:rPr>
        <w:t>13962741259</w:t>
      </w:r>
    </w:p>
    <w:p>
      <w:pPr>
        <w:pStyle w:val="20"/>
        <w:ind w:right="964" w:firstLine="0"/>
        <w:jc w:val="right"/>
        <w:rPr>
          <w:rFonts w:hint="eastAsia" w:eastAsia="宋体"/>
          <w:lang w:eastAsia="zh-CN"/>
        </w:rPr>
      </w:pPr>
      <w:r>
        <w:rPr>
          <w:rFonts w:hint="eastAsia"/>
          <w:lang w:eastAsia="zh-CN"/>
        </w:rPr>
        <w:t>南通开发区星湖小学</w:t>
      </w:r>
    </w:p>
    <w:p>
      <w:pPr>
        <w:pStyle w:val="20"/>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23</w:t>
      </w:r>
      <w:bookmarkStart w:id="2" w:name="_GoBack"/>
      <w:bookmarkEnd w:id="2"/>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p>
      <w:pPr>
        <w:snapToGrid w:val="0"/>
        <w:spacing w:line="460" w:lineRule="exact"/>
        <w:ind w:firstLine="422" w:firstLineChars="200"/>
        <w:rPr>
          <w:rFonts w:ascii="宋体" w:hAnsi="宋体" w:cs="宋体"/>
          <w:b/>
          <w:bCs/>
          <w:kern w:val="0"/>
          <w:szCs w:val="21"/>
        </w:rPr>
      </w:pPr>
      <w:r>
        <w:rPr>
          <w:rFonts w:hint="eastAsia" w:ascii="宋体" w:hAnsi="宋体" w:cs="宋体"/>
          <w:b/>
          <w:bCs/>
          <w:kern w:val="0"/>
          <w:szCs w:val="21"/>
        </w:rPr>
        <w:t>项目具体需求说明：</w:t>
      </w:r>
    </w:p>
    <w:p>
      <w:pPr>
        <w:adjustRightInd w:val="0"/>
        <w:snapToGrid w:val="0"/>
        <w:spacing w:line="460" w:lineRule="exact"/>
        <w:ind w:firstLine="420" w:firstLineChars="200"/>
        <w:jc w:val="left"/>
        <w:rPr>
          <w:rFonts w:ascii="宋体" w:hAnsi="宋体"/>
          <w:szCs w:val="21"/>
        </w:rPr>
      </w:pPr>
      <w:r>
        <w:rPr>
          <w:rFonts w:hint="eastAsia" w:ascii="宋体" w:hAnsi="宋体"/>
          <w:szCs w:val="21"/>
        </w:rPr>
        <w:t>（一）</w:t>
      </w:r>
      <w:r>
        <w:rPr>
          <w:rFonts w:ascii="宋体" w:hAnsi="宋体"/>
          <w:szCs w:val="21"/>
        </w:rPr>
        <w:t>采购标的需实现的功能或者目标</w:t>
      </w:r>
      <w:r>
        <w:rPr>
          <w:rFonts w:hint="eastAsia" w:ascii="宋体" w:hAnsi="宋体"/>
          <w:szCs w:val="21"/>
        </w:rPr>
        <w:t>：</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1.电梯:</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安全部件: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张紧轮装置和电气安全装置、制动器上检测开关、上下极限开关、制动器铁芯(柱塞)、制动器制动弹簧压缩量、限速器安全钳联动、上行超速保护装置、轿厢称重装置、安全钳钳座等安全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轿厢: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杳、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（4）底坑:底坑环境、缓冲器、对重缓冲距等底坑部件的检查、调整、清洁、润滑和更换曳引钢丝绳或曳引钢带、补偿钢丝绳、补偿链、限速器钢丝绳、曳引绳头组合的检查、调整、清洁、润滑和更换。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轿厢围壁、包括固定或可移动的面板、门面板、轿门扇、吊顶、轿厢照明、厅门扇、门框及地坎的检查。机房温度、齿轮箱、齿轮箱轴承、油封、查看故障记录、限速器护罩和楔块、轿门、开门机、厅门导轨、隔光板或磁条、E&amp;I操纵盘、地坎护板、控制柜内保险、电子板和风扇、变频器、交/直流转换驱动器、可控硅、曳引轮防护、井道开关和换速开关、钢带PPT、补偿绳绳轮、补偿链防晃器、轿顶接线盒、安全钳开关及轴销、控制柜防尘网、电刷和换向器、曳引机固定螺栓和减震胶垫等部件的检查、调整、清洁和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按照合同条款，保留现行的工程线路图。中标人须以设备安装时的国家安全标准维护甲方的电梯。当国家有关电梯安全的法规或标准发生改变时，按改变后的法规或标准执行。中标人须保留例行保养记录。</w:t>
      </w:r>
    </w:p>
    <w:p>
      <w:pPr>
        <w:adjustRightInd w:val="0"/>
        <w:snapToGrid w:val="0"/>
        <w:spacing w:line="46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.备件和零件</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（1）为甲方储存合理数量的专用备件和更换零件以满足维修时效要求。当发现电梯部件依靠日常维护保养不能安全运行时,经双方确认后对相应部件进行修理或更换。</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（2）对于本合同内包含的配件实行免费送货上门。</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（3）下列外围设备和辅助周边设备将不在本合同之内：</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电梯地面装饰及其它建筑装饰和配件;从配电房至机房的供电装置、通讯设备、保安系统等非中标人提供的设备及电梯井道机房之外的电线。</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（4）中标人须承担因中标人原因所造成的直接损失。</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在电梯维保过程中，电梯维保单位提出的任何需要更换的零、配件均必须得到采购人确认，确保原装正品，必要时采购人可请技术检测部门鉴定。</w:t>
      </w:r>
    </w:p>
    <w:p>
      <w:pPr>
        <w:adjustRightInd w:val="0"/>
        <w:snapToGrid w:val="0"/>
        <w:spacing w:line="460" w:lineRule="exact"/>
        <w:ind w:firstLine="420" w:firstLineChars="200"/>
        <w:jc w:val="left"/>
        <w:rPr>
          <w:rFonts w:ascii="宋体" w:hAnsi="宋体"/>
          <w:szCs w:val="21"/>
        </w:rPr>
      </w:pPr>
      <w:r>
        <w:rPr>
          <w:rFonts w:hint="eastAsia" w:ascii="宋体" w:hAnsi="宋体"/>
          <w:szCs w:val="21"/>
        </w:rPr>
        <w:t>（二）采购标的需执行的国家相关标准、行业标准、地方标准或者其他标准、规范：</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采购标的的技术标准按国家标准执行，无国家标准的，按行业标准执行，无国家和行业标准的，按企业标准执行。</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三</w:t>
      </w:r>
      <w:r>
        <w:rPr>
          <w:rFonts w:ascii="宋体" w:hAnsi="宋体"/>
          <w:szCs w:val="21"/>
        </w:rPr>
        <w:t>）采购标的需满足的质量、安全、技术规格、物理特性等要求</w:t>
      </w:r>
      <w:r>
        <w:rPr>
          <w:rFonts w:hint="eastAsia" w:ascii="宋体" w:hAnsi="宋体"/>
          <w:szCs w:val="21"/>
        </w:rPr>
        <w:t>：</w:t>
      </w:r>
    </w:p>
    <w:p>
      <w:pPr>
        <w:adjustRightInd w:val="0"/>
        <w:snapToGrid w:val="0"/>
        <w:spacing w:line="460" w:lineRule="exact"/>
        <w:jc w:val="center"/>
        <w:rPr>
          <w:rFonts w:hint="eastAsia" w:ascii="宋体" w:hAnsi="宋体"/>
          <w:szCs w:val="21"/>
        </w:rPr>
      </w:pPr>
      <w:r>
        <w:rPr>
          <w:rFonts w:hint="eastAsia" w:ascii="宋体" w:hAnsi="宋体"/>
          <w:szCs w:val="21"/>
        </w:rPr>
        <w:t>电梯相关参数</w:t>
      </w:r>
    </w:p>
    <w:tbl>
      <w:tblPr>
        <w:tblStyle w:val="11"/>
        <w:tblW w:w="865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70"/>
        <w:gridCol w:w="1336"/>
        <w:gridCol w:w="1624"/>
        <w:gridCol w:w="853"/>
        <w:gridCol w:w="1137"/>
        <w:gridCol w:w="117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1670"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梯号</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设备名称</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规格型号</w:t>
            </w:r>
          </w:p>
        </w:tc>
        <w:tc>
          <w:tcPr>
            <w:tcW w:w="853"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层站</w:t>
            </w:r>
          </w:p>
        </w:tc>
        <w:tc>
          <w:tcPr>
            <w:tcW w:w="1137"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载重</w:t>
            </w:r>
            <w:r>
              <w:rPr>
                <w:rFonts w:hint="eastAsia" w:ascii="宋体" w:hAnsi="宋体" w:cs="宋体"/>
                <w:kern w:val="0"/>
                <w:szCs w:val="21"/>
                <w:lang w:bidi="ar"/>
              </w:rPr>
              <w:t>（</w:t>
            </w:r>
            <w:r>
              <w:rPr>
                <w:rFonts w:ascii="宋体" w:hAnsi="宋体" w:cs="Arial"/>
                <w:kern w:val="0"/>
                <w:szCs w:val="21"/>
                <w:lang w:bidi="ar"/>
              </w:rPr>
              <w:t>kg</w:t>
            </w:r>
            <w:r>
              <w:rPr>
                <w:rFonts w:hint="eastAsia" w:ascii="宋体" w:hAnsi="宋体" w:cs="宋体"/>
                <w:kern w:val="0"/>
                <w:szCs w:val="21"/>
                <w:lang w:bidi="ar"/>
              </w:rPr>
              <w:t>）</w:t>
            </w:r>
          </w:p>
        </w:tc>
        <w:tc>
          <w:tcPr>
            <w:tcW w:w="1172" w:type="dxa"/>
            <w:noWrap w:val="0"/>
            <w:tcMar>
              <w:top w:w="0" w:type="dxa"/>
              <w:left w:w="108" w:type="dxa"/>
              <w:bottom w:w="0" w:type="dxa"/>
              <w:right w:w="108" w:type="dxa"/>
            </w:tcMar>
            <w:vAlign w:val="center"/>
          </w:tcPr>
          <w:p>
            <w:pPr>
              <w:widowControl/>
              <w:jc w:val="center"/>
              <w:rPr>
                <w:rFonts w:ascii="宋体" w:hAnsi="宋体"/>
                <w:szCs w:val="21"/>
              </w:rPr>
            </w:pPr>
            <w:r>
              <w:rPr>
                <w:rFonts w:ascii="宋体" w:hAnsi="宋体" w:cs="Arial"/>
                <w:kern w:val="0"/>
                <w:szCs w:val="21"/>
                <w:lang w:bidi="ar"/>
              </w:rPr>
              <w:t> 速度</w:t>
            </w:r>
          </w:p>
          <w:p>
            <w:pPr>
              <w:widowControl/>
              <w:jc w:val="center"/>
              <w:rPr>
                <w:rFonts w:hint="eastAsia" w:ascii="宋体" w:hAnsi="宋体" w:cs="宋体"/>
                <w:szCs w:val="21"/>
              </w:rPr>
            </w:pPr>
            <w:r>
              <w:rPr>
                <w:rFonts w:hint="eastAsia" w:ascii="宋体" w:hAnsi="宋体" w:cs="宋体"/>
                <w:kern w:val="0"/>
                <w:szCs w:val="21"/>
                <w:lang w:bidi="ar"/>
              </w:rPr>
              <w:t>（</w:t>
            </w:r>
            <w:r>
              <w:rPr>
                <w:rFonts w:ascii="宋体" w:hAnsi="宋体" w:cs="Arial"/>
                <w:kern w:val="0"/>
                <w:szCs w:val="21"/>
                <w:lang w:bidi="ar"/>
              </w:rPr>
              <w:t>m/s</w:t>
            </w:r>
            <w:r>
              <w:rPr>
                <w:rFonts w:hint="eastAsia" w:ascii="宋体" w:hAnsi="宋体" w:cs="宋体"/>
                <w:kern w:val="0"/>
                <w:szCs w:val="21"/>
                <w:lang w:bidi="ar"/>
              </w:rPr>
              <w:t>）</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ascii="宋体" w:hAnsi="宋体" w:cs="Arial"/>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1136874826</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无机房</w:t>
            </w:r>
          </w:p>
          <w:p>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KONE MonoSpace</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1136874825</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无机房</w:t>
            </w:r>
          </w:p>
          <w:p>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KONE MonoSpace</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LE19078-B</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TW12-200</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0.3</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670"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LE19078-A</w:t>
            </w:r>
          </w:p>
        </w:tc>
        <w:tc>
          <w:tcPr>
            <w:tcW w:w="133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TW12-200</w:t>
            </w:r>
          </w:p>
        </w:tc>
        <w:tc>
          <w:tcPr>
            <w:tcW w:w="853"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0.3</w:t>
            </w:r>
          </w:p>
        </w:tc>
        <w:tc>
          <w:tcPr>
            <w:tcW w:w="866" w:type="dxa"/>
            <w:noWrap w:val="0"/>
            <w:tcMar>
              <w:top w:w="0" w:type="dxa"/>
              <w:left w:w="108" w:type="dxa"/>
              <w:bottom w:w="0" w:type="dxa"/>
              <w:right w:w="108" w:type="dxa"/>
            </w:tcMar>
            <w:vAlign w:val="center"/>
          </w:tcPr>
          <w:p>
            <w:pPr>
              <w:widowControl/>
              <w:jc w:val="center"/>
              <w:rPr>
                <w:rFonts w:hint="eastAsia" w:ascii="宋体" w:hAnsi="宋体" w:cs="宋体"/>
                <w:szCs w:val="21"/>
              </w:rPr>
            </w:pPr>
            <w:r>
              <w:rPr>
                <w:rFonts w:hint="eastAsia" w:ascii="宋体" w:hAnsi="宋体" w:cs="宋体"/>
                <w:kern w:val="0"/>
                <w:szCs w:val="21"/>
                <w:lang w:bidi="ar"/>
              </w:rPr>
              <w:t>1</w:t>
            </w:r>
          </w:p>
        </w:tc>
      </w:tr>
    </w:tbl>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四</w:t>
      </w:r>
      <w:r>
        <w:rPr>
          <w:rFonts w:ascii="宋体" w:hAnsi="宋体"/>
          <w:szCs w:val="21"/>
        </w:rPr>
        <w:t>）采购标的的数量、采购项目交付或者实施的时间和地点</w:t>
      </w:r>
      <w:r>
        <w:rPr>
          <w:rFonts w:hint="eastAsia" w:ascii="宋体" w:hAnsi="宋体"/>
          <w:szCs w:val="21"/>
        </w:rPr>
        <w:t>：</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提供政府相关部门关于电梯维护保养规定的所有保养工作。保养工作均在正常工作时间(除周六日及法定节假日)内进行,中标人提供24小时的应急响应服务，相关费用包含在本合同价款中。中标人接到甲方紧急报修后或接到故障或事故报警后15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中标人须针对困人故障进行回访。</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负责甲方电梯通过年检,完成年检中发生的属本合同范围内的整改工作。</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中标人须投保工作人员的人身意外保险,以及产品责任险和公众责任险。</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中标人须自行配备工作所需的工具及设备,保养时设置现场安全警示标志。</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中标人每年需配合学校做好特种设备电梯培训及应急演练工作。电梯设备一机一档，配合学校做好材料归档工作。</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采购标的需满足的服务标准、期限、效率等要求：</w:t>
      </w:r>
    </w:p>
    <w:p>
      <w:pPr>
        <w:adjustRightInd w:val="0"/>
        <w:snapToGrid w:val="0"/>
        <w:spacing w:line="460" w:lineRule="exact"/>
        <w:ind w:firstLine="420" w:firstLineChars="200"/>
        <w:jc w:val="left"/>
        <w:rPr>
          <w:rFonts w:hint="eastAsia" w:ascii="宋体" w:hAnsi="宋体"/>
          <w:szCs w:val="21"/>
        </w:rPr>
      </w:pPr>
      <w:r>
        <w:rPr>
          <w:rFonts w:hint="eastAsia" w:ascii="宋体" w:hAnsi="宋体" w:cs="方正仿宋_GBK"/>
          <w:szCs w:val="21"/>
        </w:rPr>
        <w:t>本项目合同服务期暂定三年（2024年8月至2027年7月）。如成交供应商在合同期内考核合格，则在第一年合同期满时，且采购人、成交供应商双方同意，成交供应商承诺不增加服务费用的前提下，双方可续签下一年度合同，</w:t>
      </w:r>
      <w:r>
        <w:rPr>
          <w:rFonts w:hint="eastAsia" w:ascii="宋体" w:hAnsi="宋体" w:cs="方正仿宋_GBK"/>
          <w:color w:val="FF0000"/>
          <w:szCs w:val="21"/>
        </w:rPr>
        <w:t>最多续签两次</w:t>
      </w:r>
      <w:r>
        <w:rPr>
          <w:rFonts w:hint="eastAsia" w:ascii="宋体" w:hAnsi="宋体" w:cs="方正仿宋_GBK"/>
          <w:szCs w:val="21"/>
        </w:rPr>
        <w:t>。如成交供应商在合同期内年度综合考核不合格，则采购人不再与成交供应商续签合同。</w:t>
      </w:r>
    </w:p>
    <w:p>
      <w:pPr>
        <w:adjustRightInd w:val="0"/>
        <w:snapToGrid w:val="0"/>
        <w:spacing w:line="46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rPr>
        <w:t>六）采购标的的验收标准：本项目按照合同、招标文件、投标文件内容进行验收。</w:t>
      </w:r>
    </w:p>
    <w:p>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采购标的的其他技术、服务等要求：</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1.成交供应商必须按照法律、法规及劳动法的有关规定为维保服务人员办理相关手续，合法用工。</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2.成交供应商为采购人提供的服务人员在合同期内如发生因工伤、致残、疾病、死亡等各类劳动仲裁、诉讼等事宜均与采购方无关。</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3.工作过程中因成交供应商责任所造成的经济损失由成交供应商按实际额赔偿。因不可抗力因素造成增加的费用或造成采购方提供的设施损失，双方共同协商解决。</w:t>
      </w:r>
    </w:p>
    <w:p>
      <w:pPr>
        <w:adjustRightInd w:val="0"/>
        <w:snapToGrid w:val="0"/>
        <w:spacing w:line="460" w:lineRule="exact"/>
        <w:ind w:firstLine="420" w:firstLineChars="200"/>
        <w:jc w:val="left"/>
        <w:rPr>
          <w:rFonts w:ascii="宋体" w:hAnsi="宋体"/>
          <w:szCs w:val="21"/>
        </w:rPr>
      </w:pPr>
      <w:r>
        <w:rPr>
          <w:rFonts w:hint="eastAsia" w:ascii="宋体" w:hAnsi="宋体"/>
          <w:szCs w:val="21"/>
        </w:rPr>
        <w:t>4.合同届满时，成交供应商必须做好一切交接手续，确保采购人工作的正常进行，否则视为成交供应商违约，造成损失的应予赔偿。如采购人因特殊原因需延期的，供应商应配合完成。</w:t>
      </w:r>
    </w:p>
    <w:p>
      <w:pPr>
        <w:adjustRightInd w:val="0"/>
        <w:snapToGrid w:val="0"/>
        <w:spacing w:line="46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本次招标的维保服务类型为半包：（1）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2）投标报价应为含税报价；（3）为完成本招标文件规定的义务，投标人认为有必要计入的任何其它费用，由此可能发生的一切相关费用均应计入投标报价中。本合同综合单价为一次性包干，结算时不作调整。</w:t>
      </w:r>
    </w:p>
    <w:p>
      <w:pPr>
        <w:adjustRightInd w:val="0"/>
        <w:snapToGrid w:val="0"/>
        <w:spacing w:line="46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.其他未尽事宜按招标文件相关规定执行。</w:t>
      </w:r>
    </w:p>
    <w:p>
      <w:pPr>
        <w:adjustRightInd w:val="0"/>
        <w:snapToGrid w:val="0"/>
        <w:spacing w:line="46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甲方责任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（1）出于安全的需要,甲方不能允许未经中标人授权的人员修理、改动、更换设备的任何部件。否则,对此产生的损失将由甲方承担。</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（2）维修现场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有义务为中标人员工提供安全的工作环境,并根据有关法律法规和安全惯例的规定清除任何危险物品。同时,甲方应按政府法规对设备维护的要求,为机房提供足够的照明、通风,控制好有利于设备安全运行的温湿度。</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甲方同意在显著位置张贴和保存所有有关乘客使用设备的指引或警示。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甲方对设备情况的反映：</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a根据国家特种设备安全监察条例,当电梯发生紧急事件后,甲方应立即启动事故应急专项预案。如果电梯日常运行不正常或出现任何险情,甲方应马上直接通知中标人。</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b甲方应接受中标人人员保证设备高效安全运行的建议,协助其做必要的工作。因甲方未及时处理中标人所提之合理建议所产生之事故,中标人不承担责任。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（3）确认责任</w:t>
      </w:r>
    </w:p>
    <w:p>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甲方负责电梯日常管理工作,并授权专门人员就中标人所提供的维护保养服务和召唤维修服务分别在《电(扶)梯维护保养工作单》和《电(扶)梯维修报告》上签字确认。</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3"/>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南通开发区星湖小学电梯维护保养项目（二次）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5"/>
              <w:adjustRightInd w:val="0"/>
              <w:snapToGrid w:val="0"/>
              <w:spacing w:line="300" w:lineRule="auto"/>
              <w:rPr>
                <w:rFonts w:ascii="宋体" w:hAnsi="宋体" w:eastAsia="宋体" w:cs="宋体"/>
                <w:kern w:val="2"/>
                <w:sz w:val="24"/>
                <w:szCs w:val="24"/>
              </w:rPr>
            </w:pP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20"/>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3"/>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3"/>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2"/>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南通开发区星湖小学电梯维护保养项目（二次）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南通开发区星湖小学电梯维护保养项目（二次）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4FD7188E"/>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7707A82"/>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59487A"/>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3D85689"/>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420" w:firstLineChars="200"/>
    </w:pPr>
    <w:rPr>
      <w:rFonts w:ascii="宋体" w:hAnsi="宋体"/>
      <w:sz w:val="24"/>
      <w:szCs w:val="24"/>
    </w:rPr>
  </w:style>
  <w:style w:type="paragraph" w:styleId="3">
    <w:name w:val="Body Text Indent"/>
    <w:basedOn w:val="1"/>
    <w:link w:val="15"/>
    <w:qFormat/>
    <w:uiPriority w:val="0"/>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Body Text"/>
    <w:basedOn w:val="1"/>
    <w:link w:val="16"/>
    <w:qFormat/>
    <w:uiPriority w:val="0"/>
    <w:rPr>
      <w:rFonts w:ascii="楷体_GB2312" w:hAnsi="Arial" w:eastAsia="楷体_GB2312"/>
      <w:kern w:val="0"/>
      <w:sz w:val="28"/>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00"/>
      <w:u w:val="none"/>
    </w:rPr>
  </w:style>
  <w:style w:type="character" w:customStyle="1" w:styleId="15">
    <w:name w:val="正文文本缩进 Char"/>
    <w:basedOn w:val="13"/>
    <w:link w:val="3"/>
    <w:qFormat/>
    <w:uiPriority w:val="0"/>
    <w:rPr>
      <w:rFonts w:ascii="仿宋_GB2312" w:hAnsi="Calibri" w:eastAsia="仿宋_GB2312" w:cs="Times New Roman"/>
    </w:rPr>
  </w:style>
  <w:style w:type="character" w:customStyle="1" w:styleId="16">
    <w:name w:val="正文文本 Char"/>
    <w:basedOn w:val="13"/>
    <w:link w:val="5"/>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4"/>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default" w:ascii="Helvetica Neue" w:hAnsi="Helvetica Neue" w:eastAsia="Helvetica Neue" w:cs="Helvetica Neue"/>
      <w:color w:val="000000"/>
      <w:sz w:val="20"/>
      <w:szCs w:val="20"/>
      <w:u w:val="none"/>
    </w:rPr>
  </w:style>
  <w:style w:type="paragraph" w:styleId="28">
    <w:name w:val="List Paragraph"/>
    <w:basedOn w:val="1"/>
    <w:qFormat/>
    <w:uiPriority w:val="34"/>
    <w:pPr>
      <w:ind w:firstLine="420" w:firstLineChars="200"/>
    </w:pPr>
  </w:style>
  <w:style w:type="character" w:customStyle="1" w:styleId="29">
    <w:name w:val="font61"/>
    <w:basedOn w:val="13"/>
    <w:qFormat/>
    <w:uiPriority w:val="0"/>
    <w:rPr>
      <w:rFonts w:hint="eastAsia" w:ascii="宋体" w:hAnsi="宋体" w:eastAsia="宋体" w:cs="宋体"/>
      <w:color w:val="FF0000"/>
      <w:sz w:val="20"/>
      <w:szCs w:val="20"/>
      <w:u w:val="none"/>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ascii="Wingdings 2" w:hAnsi="Wingdings 2" w:eastAsia="Wingdings 2" w:cs="Wingdings 2"/>
      <w:color w:val="000000"/>
      <w:sz w:val="22"/>
      <w:szCs w:val="22"/>
      <w:u w:val="none"/>
    </w:rPr>
  </w:style>
  <w:style w:type="character" w:customStyle="1" w:styleId="32">
    <w:name w:val="font51"/>
    <w:basedOn w:val="13"/>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6861</Words>
  <Characters>7128</Characters>
  <Lines>78</Lines>
  <Paragraphs>22</Paragraphs>
  <TotalTime>2</TotalTime>
  <ScaleCrop>false</ScaleCrop>
  <LinksUpToDate>false</LinksUpToDate>
  <CharactersWithSpaces>8099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2024-08-23T02:21:59Z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F4A23DCBA84C45B6A69972A65F467640_13</vt:lpwstr>
  </property>
</Properties>
</file>