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before="120" w:after="120" w:line="360" w:lineRule="auto"/>
        <w:jc w:val="left"/>
        <w:textAlignment w:val="baseline"/>
        <w:rPr>
          <w:rFonts w:ascii="仿宋" w:hAnsi="仿宋" w:eastAsia="仿宋" w:cs="Times New Roman"/>
          <w:b/>
          <w:color w:val="auto"/>
          <w:kern w:val="0"/>
          <w:sz w:val="24"/>
          <w:szCs w:val="24"/>
          <w:highlight w:val="none"/>
        </w:rPr>
      </w:pPr>
    </w:p>
    <w:p>
      <w:pPr>
        <w:keepNext/>
        <w:keepLines/>
        <w:spacing w:before="260" w:after="260" w:line="416" w:lineRule="auto"/>
        <w:outlineLvl w:val="2"/>
        <w:rPr>
          <w:rFonts w:ascii="仿宋" w:hAnsi="仿宋" w:eastAsia="仿宋" w:cs="Times New Roman"/>
          <w:b/>
          <w:color w:val="auto"/>
          <w:sz w:val="24"/>
          <w:szCs w:val="24"/>
          <w:highlight w:val="none"/>
        </w:rPr>
      </w:pPr>
    </w:p>
    <w:p>
      <w:pPr>
        <w:adjustRightInd w:val="0"/>
        <w:spacing w:before="120" w:after="120" w:line="360" w:lineRule="auto"/>
        <w:jc w:val="center"/>
        <w:textAlignment w:val="baseline"/>
        <w:rPr>
          <w:rFonts w:ascii="仿宋" w:hAnsi="仿宋" w:eastAsia="仿宋" w:cs="宋体"/>
          <w:color w:val="auto"/>
          <w:kern w:val="0"/>
          <w:sz w:val="52"/>
          <w:szCs w:val="52"/>
          <w:highlight w:val="none"/>
        </w:rPr>
      </w:pPr>
      <w:r>
        <w:rPr>
          <w:rFonts w:hint="eastAsia" w:ascii="仿宋" w:hAnsi="仿宋" w:eastAsia="仿宋" w:cs="宋体"/>
          <w:color w:val="auto"/>
          <w:kern w:val="0"/>
          <w:sz w:val="52"/>
          <w:szCs w:val="52"/>
          <w:highlight w:val="none"/>
        </w:rPr>
        <w:t xml:space="preserve"> 竞争性谈判文件</w:t>
      </w:r>
    </w:p>
    <w:p>
      <w:pPr>
        <w:adjustRightInd w:val="0"/>
        <w:spacing w:before="120" w:after="120" w:line="360" w:lineRule="auto"/>
        <w:jc w:val="center"/>
        <w:textAlignment w:val="baseline"/>
        <w:rPr>
          <w:rFonts w:ascii="仿宋" w:hAnsi="仿宋" w:eastAsia="仿宋" w:cs="Times New Roman"/>
          <w:b/>
          <w:bCs/>
          <w:color w:val="auto"/>
          <w:kern w:val="0"/>
          <w:sz w:val="30"/>
          <w:szCs w:val="30"/>
          <w:highlight w:val="none"/>
        </w:rPr>
      </w:pPr>
    </w:p>
    <w:p>
      <w:pPr>
        <w:adjustRightInd w:val="0"/>
        <w:spacing w:before="120" w:after="120" w:line="360" w:lineRule="auto"/>
        <w:ind w:left="2464" w:leftChars="456" w:hanging="1506" w:hangingChars="500"/>
        <w:jc w:val="left"/>
        <w:textAlignment w:val="baseline"/>
        <w:rPr>
          <w:rFonts w:hint="eastAsia" w:ascii="仿宋" w:hAnsi="仿宋" w:eastAsia="仿宋" w:cs="Times New Roman"/>
          <w:color w:val="auto"/>
          <w:kern w:val="0"/>
          <w:sz w:val="30"/>
          <w:szCs w:val="30"/>
          <w:highlight w:val="none"/>
          <w:u w:val="single"/>
          <w:lang w:eastAsia="zh-CN"/>
        </w:rPr>
      </w:pPr>
      <w:r>
        <w:rPr>
          <w:rFonts w:hint="eastAsia" w:ascii="仿宋" w:hAnsi="仿宋" w:eastAsia="仿宋" w:cs="Times New Roman"/>
          <w:b/>
          <w:bCs/>
          <w:color w:val="auto"/>
          <w:kern w:val="0"/>
          <w:sz w:val="30"/>
          <w:szCs w:val="30"/>
          <w:highlight w:val="none"/>
        </w:rPr>
        <w:t>项目名称：</w:t>
      </w:r>
      <w:r>
        <w:rPr>
          <w:rFonts w:hint="eastAsia" w:ascii="仿宋" w:hAnsi="仿宋" w:eastAsia="仿宋" w:cs="Times New Roman"/>
          <w:b/>
          <w:bCs/>
          <w:color w:val="auto"/>
          <w:spacing w:val="-11"/>
          <w:kern w:val="0"/>
          <w:sz w:val="30"/>
          <w:szCs w:val="30"/>
          <w:highlight w:val="none"/>
          <w:u w:val="single"/>
          <w:lang w:eastAsia="zh-CN"/>
        </w:rPr>
        <w:t>南通高等师范学校附属小学张拉膜结构车棚项目</w:t>
      </w:r>
    </w:p>
    <w:p>
      <w:pPr>
        <w:adjustRightInd w:val="0"/>
        <w:spacing w:before="120" w:after="120" w:line="360" w:lineRule="auto"/>
        <w:ind w:left="-567" w:leftChars="-270" w:right="-907" w:rightChars="-432" w:firstLine="1800" w:firstLineChars="600"/>
        <w:jc w:val="left"/>
        <w:textAlignment w:val="baseline"/>
        <w:rPr>
          <w:rFonts w:ascii="仿宋" w:hAnsi="仿宋" w:eastAsia="仿宋" w:cs="Times New Roman"/>
          <w:color w:val="auto"/>
          <w:kern w:val="0"/>
          <w:sz w:val="30"/>
          <w:szCs w:val="30"/>
          <w:highlight w:val="none"/>
        </w:rPr>
      </w:pPr>
    </w:p>
    <w:p>
      <w:pPr>
        <w:widowControl/>
        <w:spacing w:line="360" w:lineRule="auto"/>
        <w:ind w:firstLine="904" w:firstLineChars="300"/>
        <w:rPr>
          <w:rFonts w:hint="default" w:ascii="仿宋" w:hAnsi="仿宋" w:eastAsia="仿宋" w:cs="Times New Roman"/>
          <w:b/>
          <w:bCs/>
          <w:color w:val="auto"/>
          <w:kern w:val="0"/>
          <w:sz w:val="30"/>
          <w:szCs w:val="30"/>
          <w:highlight w:val="none"/>
          <w:u w:val="single"/>
          <w:lang w:val="en-US" w:eastAsia="zh-CN"/>
        </w:rPr>
      </w:pPr>
      <w:r>
        <w:rPr>
          <w:rFonts w:hint="eastAsia" w:ascii="仿宋" w:hAnsi="仿宋" w:eastAsia="仿宋" w:cs="Times New Roman"/>
          <w:b/>
          <w:bCs/>
          <w:color w:val="auto"/>
          <w:kern w:val="0"/>
          <w:sz w:val="30"/>
          <w:szCs w:val="30"/>
          <w:highlight w:val="none"/>
        </w:rPr>
        <w:t>项目编号</w:t>
      </w:r>
      <w:r>
        <w:rPr>
          <w:rFonts w:hint="eastAsia" w:ascii="仿宋" w:hAnsi="仿宋" w:eastAsia="仿宋" w:cs="Times New Roman"/>
          <w:bCs/>
          <w:color w:val="auto"/>
          <w:kern w:val="0"/>
          <w:sz w:val="30"/>
          <w:szCs w:val="30"/>
          <w:highlight w:val="none"/>
        </w:rPr>
        <w:t>：</w:t>
      </w:r>
      <w:r>
        <w:rPr>
          <w:rFonts w:hint="eastAsia" w:ascii="仿宋" w:hAnsi="仿宋" w:eastAsia="仿宋" w:cs="Times New Roman"/>
          <w:bCs/>
          <w:color w:val="auto"/>
          <w:kern w:val="0"/>
          <w:sz w:val="30"/>
          <w:szCs w:val="30"/>
          <w:highlight w:val="none"/>
          <w:u w:val="single"/>
        </w:rPr>
        <w:t>NTXYJT20210</w:t>
      </w:r>
      <w:r>
        <w:rPr>
          <w:rFonts w:hint="eastAsia" w:ascii="仿宋" w:hAnsi="仿宋" w:eastAsia="仿宋" w:cs="Times New Roman"/>
          <w:bCs/>
          <w:color w:val="auto"/>
          <w:kern w:val="0"/>
          <w:sz w:val="30"/>
          <w:szCs w:val="30"/>
          <w:highlight w:val="none"/>
          <w:u w:val="single"/>
          <w:lang w:val="en-US" w:eastAsia="zh-CN"/>
        </w:rPr>
        <w:t>92</w:t>
      </w:r>
    </w:p>
    <w:p>
      <w:pPr>
        <w:tabs>
          <w:tab w:val="left" w:pos="4940"/>
        </w:tabs>
        <w:adjustRightInd w:val="0"/>
        <w:spacing w:before="120" w:after="120" w:line="360" w:lineRule="auto"/>
        <w:ind w:firstLine="904" w:firstLineChars="300"/>
        <w:jc w:val="left"/>
        <w:textAlignment w:val="baseline"/>
        <w:rPr>
          <w:rFonts w:ascii="仿宋" w:hAnsi="仿宋" w:eastAsia="仿宋" w:cs="Times New Roman"/>
          <w:b/>
          <w:bCs/>
          <w:color w:val="auto"/>
          <w:kern w:val="0"/>
          <w:sz w:val="30"/>
          <w:szCs w:val="30"/>
          <w:highlight w:val="none"/>
        </w:rPr>
      </w:pPr>
    </w:p>
    <w:p>
      <w:pPr>
        <w:adjustRightInd w:val="0"/>
        <w:spacing w:before="120" w:after="120" w:line="360" w:lineRule="auto"/>
        <w:ind w:firstLine="1200" w:firstLineChars="400"/>
        <w:jc w:val="left"/>
        <w:textAlignment w:val="baseline"/>
        <w:rPr>
          <w:rFonts w:ascii="仿宋" w:hAnsi="仿宋" w:eastAsia="仿宋" w:cs="Times New Roman"/>
          <w:color w:val="auto"/>
          <w:kern w:val="0"/>
          <w:sz w:val="30"/>
          <w:szCs w:val="30"/>
          <w:highlight w:val="none"/>
        </w:rPr>
      </w:pPr>
    </w:p>
    <w:p>
      <w:pPr>
        <w:adjustRightInd w:val="0"/>
        <w:spacing w:line="360" w:lineRule="auto"/>
        <w:jc w:val="left"/>
        <w:textAlignment w:val="baseline"/>
        <w:rPr>
          <w:rFonts w:ascii="仿宋" w:hAnsi="仿宋" w:eastAsia="仿宋" w:cs="Times New Roman"/>
          <w:color w:val="auto"/>
          <w:kern w:val="0"/>
          <w:sz w:val="30"/>
          <w:szCs w:val="30"/>
          <w:highlight w:val="none"/>
        </w:rPr>
      </w:pPr>
    </w:p>
    <w:p>
      <w:pPr>
        <w:adjustRightInd w:val="0"/>
        <w:spacing w:line="360" w:lineRule="auto"/>
        <w:jc w:val="left"/>
        <w:textAlignment w:val="baseline"/>
        <w:rPr>
          <w:rFonts w:ascii="仿宋" w:hAnsi="仿宋" w:eastAsia="仿宋" w:cs="Times New Roman"/>
          <w:color w:val="auto"/>
          <w:kern w:val="0"/>
          <w:sz w:val="30"/>
          <w:szCs w:val="30"/>
          <w:highlight w:val="none"/>
        </w:rPr>
      </w:pPr>
    </w:p>
    <w:p>
      <w:pPr>
        <w:adjustRightInd w:val="0"/>
        <w:spacing w:line="360" w:lineRule="auto"/>
        <w:jc w:val="left"/>
        <w:textAlignment w:val="baseline"/>
        <w:rPr>
          <w:rFonts w:ascii="仿宋" w:hAnsi="仿宋" w:eastAsia="仿宋" w:cs="Times New Roman"/>
          <w:color w:val="auto"/>
          <w:kern w:val="0"/>
          <w:sz w:val="30"/>
          <w:szCs w:val="30"/>
          <w:highlight w:val="none"/>
        </w:rPr>
      </w:pPr>
    </w:p>
    <w:p>
      <w:pPr>
        <w:adjustRightInd w:val="0"/>
        <w:spacing w:line="360" w:lineRule="auto"/>
        <w:jc w:val="left"/>
        <w:textAlignment w:val="baseline"/>
        <w:rPr>
          <w:rFonts w:ascii="仿宋" w:hAnsi="仿宋" w:eastAsia="仿宋" w:cs="Times New Roman"/>
          <w:color w:val="auto"/>
          <w:kern w:val="0"/>
          <w:sz w:val="30"/>
          <w:szCs w:val="30"/>
          <w:highlight w:val="none"/>
        </w:rPr>
      </w:pPr>
    </w:p>
    <w:p>
      <w:pPr>
        <w:autoSpaceDE w:val="0"/>
        <w:autoSpaceDN w:val="0"/>
        <w:adjustRightInd w:val="0"/>
        <w:spacing w:line="740" w:lineRule="exact"/>
        <w:ind w:firstLine="602" w:firstLineChars="200"/>
        <w:rPr>
          <w:rFonts w:hint="default" w:ascii="仿宋" w:hAnsi="仿宋" w:eastAsia="仿宋" w:cs="宋体"/>
          <w:b/>
          <w:color w:val="auto"/>
          <w:kern w:val="0"/>
          <w:sz w:val="30"/>
          <w:szCs w:val="30"/>
          <w:highlight w:val="none"/>
          <w:u w:val="single"/>
          <w:lang w:val="en-US" w:eastAsia="zh-CN"/>
        </w:rPr>
      </w:pPr>
      <w:r>
        <w:rPr>
          <w:rFonts w:hint="eastAsia" w:ascii="仿宋" w:hAnsi="仿宋" w:eastAsia="仿宋" w:cs="宋体"/>
          <w:b/>
          <w:color w:val="auto"/>
          <w:kern w:val="0"/>
          <w:sz w:val="30"/>
          <w:szCs w:val="30"/>
          <w:highlight w:val="none"/>
        </w:rPr>
        <w:t>采   购   人:</w:t>
      </w:r>
      <w:r>
        <w:rPr>
          <w:rFonts w:hint="eastAsia" w:ascii="仿宋" w:hAnsi="仿宋" w:eastAsia="仿宋" w:cs="宋体"/>
          <w:b/>
          <w:color w:val="auto"/>
          <w:kern w:val="0"/>
          <w:sz w:val="30"/>
          <w:szCs w:val="30"/>
          <w:highlight w:val="none"/>
          <w:u w:val="single"/>
        </w:rPr>
        <w:t xml:space="preserve"> </w:t>
      </w:r>
      <w:r>
        <w:rPr>
          <w:rFonts w:hint="eastAsia" w:ascii="仿宋" w:hAnsi="仿宋" w:eastAsia="仿宋" w:cs="宋体"/>
          <w:b/>
          <w:color w:val="auto"/>
          <w:kern w:val="0"/>
          <w:sz w:val="30"/>
          <w:szCs w:val="30"/>
          <w:highlight w:val="none"/>
          <w:u w:val="single"/>
          <w:lang w:val="en-US" w:eastAsia="zh-CN"/>
        </w:rPr>
        <w:t xml:space="preserve">  </w:t>
      </w:r>
      <w:r>
        <w:rPr>
          <w:rFonts w:hint="eastAsia" w:ascii="仿宋" w:hAnsi="仿宋" w:eastAsia="仿宋" w:cs="宋体"/>
          <w:b/>
          <w:color w:val="auto"/>
          <w:spacing w:val="-6"/>
          <w:kern w:val="0"/>
          <w:sz w:val="30"/>
          <w:szCs w:val="30"/>
          <w:highlight w:val="none"/>
          <w:u w:val="single"/>
          <w:lang w:eastAsia="zh-CN"/>
        </w:rPr>
        <w:t>南通高等师范学校附属小学</w:t>
      </w:r>
      <w:r>
        <w:rPr>
          <w:rFonts w:hint="eastAsia" w:ascii="仿宋" w:hAnsi="仿宋" w:eastAsia="仿宋" w:cs="宋体"/>
          <w:b/>
          <w:color w:val="auto"/>
          <w:spacing w:val="-6"/>
          <w:kern w:val="0"/>
          <w:sz w:val="30"/>
          <w:szCs w:val="30"/>
          <w:highlight w:val="none"/>
          <w:u w:val="single"/>
          <w:lang w:val="en-US" w:eastAsia="zh-CN"/>
        </w:rPr>
        <w:t xml:space="preserve">      </w:t>
      </w:r>
    </w:p>
    <w:p>
      <w:pPr>
        <w:autoSpaceDE w:val="0"/>
        <w:autoSpaceDN w:val="0"/>
        <w:adjustRightInd w:val="0"/>
        <w:spacing w:line="740" w:lineRule="exact"/>
        <w:ind w:firstLine="602" w:firstLineChars="200"/>
        <w:rPr>
          <w:rFonts w:ascii="仿宋" w:hAnsi="仿宋" w:eastAsia="仿宋" w:cs="宋体"/>
          <w:b/>
          <w:color w:val="auto"/>
          <w:kern w:val="0"/>
          <w:sz w:val="30"/>
          <w:szCs w:val="30"/>
          <w:highlight w:val="none"/>
          <w:u w:val="single"/>
        </w:rPr>
      </w:pPr>
      <w:r>
        <w:rPr>
          <w:rFonts w:hint="eastAsia" w:ascii="仿宋" w:hAnsi="仿宋" w:eastAsia="仿宋" w:cs="宋体"/>
          <w:b/>
          <w:color w:val="auto"/>
          <w:kern w:val="0"/>
          <w:sz w:val="30"/>
          <w:szCs w:val="30"/>
          <w:highlight w:val="none"/>
        </w:rPr>
        <w:t>招标</w:t>
      </w:r>
      <w:r>
        <w:rPr>
          <w:rFonts w:hint="eastAsia" w:ascii="仿宋" w:hAnsi="仿宋" w:eastAsia="仿宋" w:cs="宋体"/>
          <w:b/>
          <w:color w:val="auto"/>
          <w:kern w:val="0"/>
          <w:sz w:val="30"/>
          <w:szCs w:val="30"/>
          <w:highlight w:val="none"/>
          <w:lang w:eastAsia="zh-TW"/>
        </w:rPr>
        <w:t>代理机构</w:t>
      </w:r>
      <w:r>
        <w:rPr>
          <w:rFonts w:hint="eastAsia" w:ascii="仿宋" w:hAnsi="仿宋" w:eastAsia="仿宋" w:cs="宋体"/>
          <w:b/>
          <w:color w:val="auto"/>
          <w:kern w:val="0"/>
          <w:sz w:val="30"/>
          <w:szCs w:val="30"/>
          <w:highlight w:val="none"/>
        </w:rPr>
        <w:t>:</w:t>
      </w:r>
      <w:r>
        <w:rPr>
          <w:rFonts w:hint="eastAsia" w:ascii="仿宋" w:hAnsi="仿宋" w:eastAsia="仿宋" w:cs="Times New Roman"/>
          <w:b/>
          <w:color w:val="auto"/>
          <w:sz w:val="30"/>
          <w:szCs w:val="30"/>
          <w:highlight w:val="none"/>
          <w:u w:val="single"/>
        </w:rPr>
        <w:t>苏州新一造价师价格事务所有限公司</w:t>
      </w:r>
    </w:p>
    <w:p>
      <w:pPr>
        <w:autoSpaceDE w:val="0"/>
        <w:autoSpaceDN w:val="0"/>
        <w:adjustRightInd w:val="0"/>
        <w:snapToGrid w:val="0"/>
        <w:spacing w:line="640" w:lineRule="exact"/>
        <w:ind w:firstLine="602" w:firstLineChars="200"/>
        <w:rPr>
          <w:rFonts w:ascii="仿宋" w:hAnsi="仿宋" w:eastAsia="仿宋" w:cs="宋体"/>
          <w:b/>
          <w:color w:val="auto"/>
          <w:kern w:val="0"/>
          <w:sz w:val="30"/>
          <w:szCs w:val="30"/>
          <w:highlight w:val="none"/>
          <w:u w:val="single"/>
        </w:rPr>
      </w:pPr>
      <w:r>
        <w:rPr>
          <w:rFonts w:hint="eastAsia" w:ascii="仿宋" w:hAnsi="仿宋" w:eastAsia="仿宋" w:cs="宋体"/>
          <w:b/>
          <w:color w:val="auto"/>
          <w:kern w:val="0"/>
          <w:sz w:val="30"/>
          <w:szCs w:val="30"/>
          <w:highlight w:val="none"/>
        </w:rPr>
        <w:t xml:space="preserve">日        期:  </w:t>
      </w:r>
      <w:r>
        <w:rPr>
          <w:rFonts w:hint="eastAsia" w:ascii="仿宋" w:hAnsi="仿宋" w:eastAsia="仿宋" w:cs="宋体"/>
          <w:b/>
          <w:color w:val="auto"/>
          <w:kern w:val="0"/>
          <w:sz w:val="30"/>
          <w:szCs w:val="30"/>
          <w:highlight w:val="none"/>
          <w:u w:val="single"/>
        </w:rPr>
        <w:t>2021</w:t>
      </w:r>
      <w:r>
        <w:rPr>
          <w:rFonts w:hint="eastAsia" w:ascii="仿宋" w:hAnsi="仿宋" w:eastAsia="仿宋" w:cs="宋体"/>
          <w:b/>
          <w:color w:val="auto"/>
          <w:kern w:val="0"/>
          <w:sz w:val="30"/>
          <w:szCs w:val="30"/>
          <w:highlight w:val="none"/>
        </w:rPr>
        <w:t>年</w:t>
      </w:r>
      <w:r>
        <w:rPr>
          <w:rFonts w:hint="eastAsia" w:ascii="仿宋" w:hAnsi="仿宋" w:eastAsia="仿宋" w:cs="宋体"/>
          <w:b/>
          <w:color w:val="auto"/>
          <w:kern w:val="0"/>
          <w:sz w:val="30"/>
          <w:szCs w:val="30"/>
          <w:highlight w:val="none"/>
          <w:u w:val="single"/>
          <w:lang w:val="en-US" w:eastAsia="zh-CN"/>
        </w:rPr>
        <w:t xml:space="preserve"> 11</w:t>
      </w:r>
      <w:r>
        <w:rPr>
          <w:rFonts w:hint="eastAsia" w:ascii="仿宋" w:hAnsi="仿宋" w:eastAsia="仿宋" w:cs="宋体"/>
          <w:b/>
          <w:color w:val="auto"/>
          <w:kern w:val="0"/>
          <w:sz w:val="30"/>
          <w:szCs w:val="30"/>
          <w:highlight w:val="none"/>
        </w:rPr>
        <w:t>月</w:t>
      </w:r>
      <w:r>
        <w:rPr>
          <w:rFonts w:hint="eastAsia" w:ascii="仿宋" w:hAnsi="仿宋" w:eastAsia="仿宋" w:cs="宋体"/>
          <w:b/>
          <w:color w:val="auto"/>
          <w:kern w:val="0"/>
          <w:sz w:val="30"/>
          <w:szCs w:val="30"/>
          <w:highlight w:val="none"/>
          <w:u w:val="single"/>
          <w:lang w:val="en-US" w:eastAsia="zh-CN"/>
        </w:rPr>
        <w:t xml:space="preserve"> 1  </w:t>
      </w:r>
      <w:r>
        <w:rPr>
          <w:rFonts w:hint="eastAsia" w:ascii="仿宋" w:hAnsi="仿宋" w:eastAsia="仿宋" w:cs="宋体"/>
          <w:b/>
          <w:color w:val="auto"/>
          <w:kern w:val="0"/>
          <w:sz w:val="30"/>
          <w:szCs w:val="30"/>
          <w:highlight w:val="none"/>
        </w:rPr>
        <w:t>日</w:t>
      </w:r>
    </w:p>
    <w:p>
      <w:pPr>
        <w:autoSpaceDE w:val="0"/>
        <w:autoSpaceDN w:val="0"/>
        <w:adjustRightInd w:val="0"/>
        <w:spacing w:line="43" w:lineRule="exact"/>
        <w:textAlignment w:val="bottom"/>
        <w:rPr>
          <w:rFonts w:ascii="仿宋" w:hAnsi="仿宋" w:eastAsia="仿宋" w:cs="宋体"/>
          <w:color w:val="auto"/>
          <w:kern w:val="0"/>
          <w:sz w:val="30"/>
          <w:szCs w:val="30"/>
          <w:highlight w:val="none"/>
        </w:rPr>
      </w:pPr>
    </w:p>
    <w:p>
      <w:pPr>
        <w:autoSpaceDE w:val="0"/>
        <w:autoSpaceDN w:val="0"/>
        <w:adjustRightInd w:val="0"/>
        <w:snapToGrid w:val="0"/>
        <w:spacing w:line="640" w:lineRule="exact"/>
        <w:ind w:firstLine="738" w:firstLineChars="246"/>
        <w:jc w:val="center"/>
        <w:rPr>
          <w:rFonts w:ascii="仿宋" w:hAnsi="仿宋" w:eastAsia="仿宋" w:cs="Times New Roman"/>
          <w:color w:val="auto"/>
          <w:sz w:val="24"/>
          <w:szCs w:val="24"/>
          <w:highlight w:val="none"/>
        </w:rPr>
      </w:pPr>
      <w:r>
        <w:rPr>
          <w:rFonts w:ascii="仿宋" w:hAnsi="仿宋" w:eastAsia="仿宋" w:cs="Times New Roman"/>
          <w:color w:val="auto"/>
          <w:sz w:val="30"/>
          <w:szCs w:val="30"/>
          <w:highlight w:val="none"/>
        </w:rPr>
        <w:br w:type="page"/>
      </w:r>
    </w:p>
    <w:p>
      <w:pPr>
        <w:autoSpaceDE w:val="0"/>
        <w:autoSpaceDN w:val="0"/>
        <w:adjustRightInd w:val="0"/>
        <w:snapToGrid w:val="0"/>
        <w:spacing w:line="640" w:lineRule="exact"/>
        <w:jc w:val="center"/>
        <w:rPr>
          <w:rFonts w:ascii="仿宋" w:hAnsi="仿宋" w:eastAsia="仿宋" w:cs="Times New Roman"/>
          <w:color w:val="auto"/>
          <w:sz w:val="28"/>
          <w:szCs w:val="28"/>
          <w:highlight w:val="none"/>
        </w:rPr>
      </w:pPr>
      <w:r>
        <w:rPr>
          <w:rFonts w:ascii="仿宋" w:hAnsi="仿宋" w:eastAsia="仿宋" w:cs="Times New Roman"/>
          <w:color w:val="auto"/>
          <w:sz w:val="28"/>
          <w:szCs w:val="28"/>
          <w:highlight w:val="none"/>
        </w:rPr>
        <w:t>目录</w:t>
      </w:r>
    </w:p>
    <w:p>
      <w:pPr>
        <w:jc w:val="center"/>
        <w:rPr>
          <w:rFonts w:ascii="仿宋" w:hAnsi="仿宋" w:eastAsia="仿宋" w:cs="Times New Roman"/>
          <w:b/>
          <w:color w:val="auto"/>
          <w:sz w:val="28"/>
          <w:szCs w:val="28"/>
          <w:highlight w:val="none"/>
        </w:rPr>
      </w:pPr>
    </w:p>
    <w:p>
      <w:pPr>
        <w:tabs>
          <w:tab w:val="left" w:pos="7740"/>
        </w:tabs>
        <w:spacing w:line="600" w:lineRule="exact"/>
        <w:ind w:firstLine="560" w:firstLineChars="200"/>
        <w:rPr>
          <w:rFonts w:ascii="仿宋" w:hAnsi="仿宋" w:eastAsia="仿宋" w:cs="Times New Roman"/>
          <w:bCs/>
          <w:color w:val="auto"/>
          <w:sz w:val="28"/>
          <w:szCs w:val="28"/>
          <w:highlight w:val="none"/>
        </w:rPr>
      </w:pPr>
      <w:bookmarkStart w:id="0" w:name="_Toc415233241"/>
      <w:bookmarkStart w:id="1" w:name="_Toc438651106"/>
      <w:r>
        <w:rPr>
          <w:rFonts w:hint="eastAsia" w:ascii="仿宋" w:hAnsi="仿宋" w:eastAsia="仿宋" w:cs="Times New Roman"/>
          <w:bCs/>
          <w:color w:val="auto"/>
          <w:sz w:val="28"/>
          <w:szCs w:val="28"/>
          <w:highlight w:val="none"/>
        </w:rPr>
        <w:t>第一章  竞争性谈判公告</w:t>
      </w:r>
    </w:p>
    <w:p>
      <w:pPr>
        <w:tabs>
          <w:tab w:val="left" w:pos="7740"/>
        </w:tabs>
        <w:spacing w:line="600" w:lineRule="exact"/>
        <w:ind w:firstLine="3116" w:firstLineChars="1113"/>
        <w:rPr>
          <w:rFonts w:ascii="仿宋" w:hAnsi="仿宋" w:eastAsia="仿宋" w:cs="Times New Roman"/>
          <w:bCs/>
          <w:color w:val="auto"/>
          <w:sz w:val="28"/>
          <w:szCs w:val="28"/>
          <w:highlight w:val="none"/>
        </w:rPr>
      </w:pPr>
    </w:p>
    <w:p>
      <w:pPr>
        <w:tabs>
          <w:tab w:val="left" w:pos="7740"/>
        </w:tabs>
        <w:spacing w:line="600" w:lineRule="exact"/>
        <w:ind w:firstLine="560" w:firstLineChars="200"/>
        <w:rPr>
          <w:rFonts w:ascii="仿宋" w:hAnsi="仿宋" w:eastAsia="仿宋" w:cs="Times New Roman"/>
          <w:bCs/>
          <w:color w:val="auto"/>
          <w:sz w:val="28"/>
          <w:szCs w:val="28"/>
          <w:highlight w:val="none"/>
        </w:rPr>
      </w:pPr>
      <w:r>
        <w:rPr>
          <w:rFonts w:hint="eastAsia" w:ascii="仿宋" w:hAnsi="仿宋" w:eastAsia="仿宋" w:cs="Times New Roman"/>
          <w:bCs/>
          <w:color w:val="auto"/>
          <w:sz w:val="28"/>
          <w:szCs w:val="28"/>
          <w:highlight w:val="none"/>
        </w:rPr>
        <w:t>第二章  谈判须知</w:t>
      </w:r>
    </w:p>
    <w:p>
      <w:pPr>
        <w:tabs>
          <w:tab w:val="left" w:pos="7740"/>
        </w:tabs>
        <w:spacing w:line="600" w:lineRule="exact"/>
        <w:ind w:firstLine="3116" w:firstLineChars="1113"/>
        <w:rPr>
          <w:rFonts w:ascii="仿宋" w:hAnsi="仿宋" w:eastAsia="仿宋" w:cs="Times New Roman"/>
          <w:bCs/>
          <w:color w:val="auto"/>
          <w:sz w:val="28"/>
          <w:szCs w:val="28"/>
          <w:highlight w:val="none"/>
        </w:rPr>
      </w:pPr>
    </w:p>
    <w:p>
      <w:pPr>
        <w:tabs>
          <w:tab w:val="left" w:pos="7740"/>
        </w:tabs>
        <w:spacing w:line="600" w:lineRule="exact"/>
        <w:ind w:firstLine="560" w:firstLineChars="200"/>
        <w:rPr>
          <w:rFonts w:ascii="仿宋" w:hAnsi="仿宋" w:eastAsia="仿宋" w:cs="Times New Roman"/>
          <w:bCs/>
          <w:color w:val="auto"/>
          <w:sz w:val="28"/>
          <w:szCs w:val="28"/>
          <w:highlight w:val="none"/>
        </w:rPr>
      </w:pPr>
      <w:r>
        <w:rPr>
          <w:rFonts w:hint="eastAsia" w:ascii="仿宋" w:hAnsi="仿宋" w:eastAsia="仿宋" w:cs="Times New Roman"/>
          <w:bCs/>
          <w:color w:val="auto"/>
          <w:sz w:val="28"/>
          <w:szCs w:val="28"/>
          <w:highlight w:val="none"/>
        </w:rPr>
        <w:t>第三章  采购合同条款及格式</w:t>
      </w:r>
    </w:p>
    <w:p>
      <w:pPr>
        <w:tabs>
          <w:tab w:val="left" w:pos="7740"/>
        </w:tabs>
        <w:spacing w:line="600" w:lineRule="exact"/>
        <w:ind w:firstLine="3116" w:firstLineChars="1113"/>
        <w:rPr>
          <w:rFonts w:ascii="仿宋" w:hAnsi="仿宋" w:eastAsia="仿宋" w:cs="Times New Roman"/>
          <w:bCs/>
          <w:color w:val="auto"/>
          <w:sz w:val="28"/>
          <w:szCs w:val="28"/>
          <w:highlight w:val="none"/>
        </w:rPr>
      </w:pPr>
    </w:p>
    <w:p>
      <w:pPr>
        <w:tabs>
          <w:tab w:val="left" w:pos="7740"/>
        </w:tabs>
        <w:spacing w:line="600" w:lineRule="exact"/>
        <w:ind w:firstLine="560" w:firstLineChars="200"/>
        <w:rPr>
          <w:rFonts w:ascii="仿宋" w:hAnsi="仿宋" w:eastAsia="仿宋" w:cs="Times New Roman"/>
          <w:bCs/>
          <w:color w:val="auto"/>
          <w:sz w:val="28"/>
          <w:szCs w:val="28"/>
          <w:highlight w:val="none"/>
        </w:rPr>
      </w:pPr>
      <w:r>
        <w:rPr>
          <w:rFonts w:hint="eastAsia" w:ascii="仿宋" w:hAnsi="仿宋" w:eastAsia="仿宋" w:cs="Times New Roman"/>
          <w:bCs/>
          <w:color w:val="auto"/>
          <w:sz w:val="28"/>
          <w:szCs w:val="28"/>
          <w:highlight w:val="none"/>
        </w:rPr>
        <w:t>第四章  项目需求</w:t>
      </w:r>
    </w:p>
    <w:p>
      <w:pPr>
        <w:tabs>
          <w:tab w:val="left" w:pos="7740"/>
        </w:tabs>
        <w:spacing w:line="600" w:lineRule="exact"/>
        <w:ind w:firstLine="3116" w:firstLineChars="1113"/>
        <w:rPr>
          <w:rFonts w:ascii="仿宋" w:hAnsi="仿宋" w:eastAsia="仿宋" w:cs="Times New Roman"/>
          <w:bCs/>
          <w:color w:val="auto"/>
          <w:sz w:val="28"/>
          <w:szCs w:val="28"/>
          <w:highlight w:val="none"/>
        </w:rPr>
      </w:pPr>
    </w:p>
    <w:p>
      <w:pPr>
        <w:tabs>
          <w:tab w:val="left" w:pos="7740"/>
        </w:tabs>
        <w:spacing w:line="600" w:lineRule="exact"/>
        <w:ind w:firstLine="560" w:firstLineChars="200"/>
        <w:rPr>
          <w:rFonts w:ascii="仿宋" w:hAnsi="仿宋" w:eastAsia="仿宋" w:cs="Times New Roman"/>
          <w:bCs/>
          <w:color w:val="auto"/>
          <w:sz w:val="28"/>
          <w:szCs w:val="28"/>
          <w:highlight w:val="none"/>
        </w:rPr>
      </w:pPr>
      <w:r>
        <w:rPr>
          <w:rFonts w:hint="eastAsia" w:ascii="仿宋" w:hAnsi="仿宋" w:eastAsia="仿宋" w:cs="Times New Roman"/>
          <w:bCs/>
          <w:color w:val="auto"/>
          <w:sz w:val="28"/>
          <w:szCs w:val="28"/>
          <w:highlight w:val="none"/>
        </w:rPr>
        <w:t>第五章  谈判响应文件格式</w:t>
      </w:r>
    </w:p>
    <w:p>
      <w:pPr>
        <w:tabs>
          <w:tab w:val="left" w:pos="7740"/>
        </w:tabs>
        <w:spacing w:line="600" w:lineRule="exact"/>
        <w:ind w:firstLine="3116" w:firstLineChars="1113"/>
        <w:rPr>
          <w:rFonts w:ascii="仿宋" w:hAnsi="仿宋" w:eastAsia="仿宋" w:cs="Times New Roman"/>
          <w:bCs/>
          <w:color w:val="auto"/>
          <w:sz w:val="28"/>
          <w:szCs w:val="28"/>
          <w:highlight w:val="none"/>
        </w:rPr>
      </w:pPr>
    </w:p>
    <w:p>
      <w:pPr>
        <w:rPr>
          <w:rFonts w:ascii="仿宋" w:hAnsi="仿宋" w:eastAsia="仿宋" w:cs="Times New Roman"/>
          <w:color w:val="auto"/>
          <w:sz w:val="28"/>
          <w:szCs w:val="28"/>
          <w:highlight w:val="none"/>
        </w:rPr>
      </w:pPr>
    </w:p>
    <w:p>
      <w:pPr>
        <w:rPr>
          <w:rFonts w:ascii="仿宋" w:hAnsi="仿宋" w:eastAsia="仿宋" w:cs="Times New Roman"/>
          <w:color w:val="auto"/>
          <w:sz w:val="28"/>
          <w:szCs w:val="28"/>
          <w:highlight w:val="none"/>
        </w:rPr>
      </w:pPr>
    </w:p>
    <w:p>
      <w:pPr>
        <w:rPr>
          <w:rFonts w:ascii="仿宋" w:hAnsi="仿宋" w:eastAsia="仿宋" w:cs="Times New Roman"/>
          <w:color w:val="auto"/>
          <w:sz w:val="24"/>
          <w:szCs w:val="24"/>
          <w:highlight w:val="none"/>
        </w:rPr>
      </w:pPr>
    </w:p>
    <w:p>
      <w:pPr>
        <w:rPr>
          <w:rFonts w:ascii="仿宋" w:hAnsi="仿宋" w:eastAsia="仿宋" w:cs="Times New Roman"/>
          <w:color w:val="auto"/>
          <w:sz w:val="24"/>
          <w:szCs w:val="24"/>
          <w:highlight w:val="none"/>
        </w:rPr>
      </w:pPr>
    </w:p>
    <w:p>
      <w:pPr>
        <w:rPr>
          <w:rFonts w:ascii="仿宋" w:hAnsi="仿宋" w:eastAsia="仿宋" w:cs="Times New Roman"/>
          <w:color w:val="auto"/>
          <w:sz w:val="24"/>
          <w:szCs w:val="24"/>
          <w:highlight w:val="none"/>
        </w:rPr>
      </w:pPr>
    </w:p>
    <w:p>
      <w:pPr>
        <w:rPr>
          <w:rFonts w:ascii="仿宋" w:hAnsi="仿宋" w:eastAsia="仿宋" w:cs="Times New Roman"/>
          <w:color w:val="auto"/>
          <w:sz w:val="24"/>
          <w:szCs w:val="24"/>
          <w:highlight w:val="none"/>
        </w:rPr>
      </w:pPr>
    </w:p>
    <w:p>
      <w:pPr>
        <w:rPr>
          <w:rFonts w:ascii="仿宋" w:hAnsi="仿宋" w:eastAsia="仿宋" w:cs="Times New Roman"/>
          <w:color w:val="auto"/>
          <w:sz w:val="24"/>
          <w:szCs w:val="24"/>
          <w:highlight w:val="none"/>
        </w:rPr>
      </w:pPr>
    </w:p>
    <w:p>
      <w:pPr>
        <w:rPr>
          <w:rFonts w:ascii="仿宋" w:hAnsi="仿宋" w:eastAsia="仿宋" w:cs="Times New Roman"/>
          <w:color w:val="auto"/>
          <w:sz w:val="24"/>
          <w:szCs w:val="24"/>
          <w:highlight w:val="none"/>
        </w:rPr>
      </w:pPr>
    </w:p>
    <w:p>
      <w:pPr>
        <w:rPr>
          <w:rFonts w:ascii="仿宋" w:hAnsi="仿宋" w:eastAsia="仿宋" w:cs="Times New Roman"/>
          <w:color w:val="auto"/>
          <w:sz w:val="24"/>
          <w:szCs w:val="24"/>
          <w:highlight w:val="none"/>
        </w:rPr>
      </w:pPr>
    </w:p>
    <w:p>
      <w:pPr>
        <w:rPr>
          <w:rFonts w:ascii="仿宋" w:hAnsi="仿宋" w:eastAsia="仿宋" w:cs="Times New Roman"/>
          <w:color w:val="auto"/>
          <w:sz w:val="24"/>
          <w:szCs w:val="24"/>
          <w:highlight w:val="none"/>
        </w:rPr>
      </w:pPr>
    </w:p>
    <w:p>
      <w:pPr>
        <w:rPr>
          <w:rFonts w:ascii="仿宋" w:hAnsi="仿宋" w:eastAsia="仿宋" w:cs="Times New Roman"/>
          <w:color w:val="auto"/>
          <w:sz w:val="24"/>
          <w:szCs w:val="24"/>
          <w:highlight w:val="none"/>
        </w:rPr>
      </w:pPr>
    </w:p>
    <w:p>
      <w:pPr>
        <w:rPr>
          <w:rFonts w:ascii="仿宋" w:hAnsi="仿宋" w:eastAsia="仿宋" w:cs="Times New Roman"/>
          <w:color w:val="auto"/>
          <w:sz w:val="24"/>
          <w:szCs w:val="24"/>
          <w:highlight w:val="none"/>
        </w:rPr>
      </w:pPr>
    </w:p>
    <w:p>
      <w:pPr>
        <w:rPr>
          <w:rFonts w:ascii="仿宋" w:hAnsi="仿宋" w:eastAsia="仿宋" w:cs="Times New Roman"/>
          <w:color w:val="auto"/>
          <w:sz w:val="24"/>
          <w:szCs w:val="24"/>
          <w:highlight w:val="none"/>
        </w:rPr>
      </w:pPr>
    </w:p>
    <w:p>
      <w:pPr>
        <w:rPr>
          <w:rFonts w:ascii="仿宋" w:hAnsi="仿宋" w:eastAsia="仿宋" w:cs="Times New Roman"/>
          <w:color w:val="auto"/>
          <w:sz w:val="24"/>
          <w:szCs w:val="24"/>
          <w:highlight w:val="none"/>
        </w:rPr>
      </w:pPr>
    </w:p>
    <w:p>
      <w:pPr>
        <w:rPr>
          <w:rFonts w:ascii="仿宋" w:hAnsi="仿宋" w:eastAsia="仿宋" w:cs="Times New Roman"/>
          <w:color w:val="auto"/>
          <w:sz w:val="24"/>
          <w:szCs w:val="24"/>
          <w:highlight w:val="none"/>
        </w:rPr>
      </w:pPr>
    </w:p>
    <w:p>
      <w:pPr>
        <w:rPr>
          <w:rFonts w:ascii="仿宋" w:hAnsi="仿宋" w:eastAsia="仿宋" w:cs="Times New Roman"/>
          <w:color w:val="auto"/>
          <w:sz w:val="24"/>
          <w:szCs w:val="24"/>
          <w:highlight w:val="none"/>
        </w:rPr>
      </w:pPr>
    </w:p>
    <w:p>
      <w:pPr>
        <w:rPr>
          <w:rFonts w:ascii="仿宋" w:hAnsi="仿宋" w:eastAsia="仿宋" w:cs="Times New Roman"/>
          <w:color w:val="auto"/>
          <w:sz w:val="24"/>
          <w:szCs w:val="24"/>
          <w:highlight w:val="none"/>
        </w:rPr>
      </w:pPr>
    </w:p>
    <w:p>
      <w:pPr>
        <w:rPr>
          <w:rFonts w:ascii="仿宋" w:hAnsi="仿宋" w:eastAsia="仿宋" w:cs="Times New Roman"/>
          <w:color w:val="auto"/>
          <w:sz w:val="24"/>
          <w:szCs w:val="24"/>
          <w:highlight w:val="none"/>
        </w:rPr>
      </w:pPr>
    </w:p>
    <w:p>
      <w:pPr>
        <w:adjustRightInd w:val="0"/>
        <w:jc w:val="center"/>
        <w:textAlignment w:val="baseline"/>
        <w:rPr>
          <w:rFonts w:ascii="仿宋" w:hAnsi="仿宋" w:eastAsia="仿宋" w:cs="宋体"/>
          <w:color w:val="auto"/>
          <w:kern w:val="0"/>
          <w:sz w:val="32"/>
          <w:szCs w:val="32"/>
          <w:highlight w:val="none"/>
        </w:rPr>
      </w:pPr>
    </w:p>
    <w:p>
      <w:pPr>
        <w:adjustRightInd w:val="0"/>
        <w:jc w:val="center"/>
        <w:textAlignment w:val="baseline"/>
        <w:rPr>
          <w:rFonts w:ascii="仿宋" w:hAnsi="仿宋" w:eastAsia="仿宋" w:cs="宋体"/>
          <w:color w:val="auto"/>
          <w:kern w:val="0"/>
          <w:sz w:val="32"/>
          <w:szCs w:val="32"/>
          <w:highlight w:val="none"/>
        </w:rPr>
      </w:pPr>
    </w:p>
    <w:p>
      <w:pPr>
        <w:pStyle w:val="56"/>
        <w:rPr>
          <w:color w:val="auto"/>
          <w:highlight w:val="none"/>
        </w:rPr>
      </w:pPr>
    </w:p>
    <w:p>
      <w:pPr>
        <w:adjustRightInd w:val="0"/>
        <w:jc w:val="center"/>
        <w:textAlignment w:val="baseline"/>
        <w:rPr>
          <w:rFonts w:ascii="仿宋" w:hAnsi="仿宋" w:eastAsia="仿宋" w:cs="宋体"/>
          <w:color w:val="auto"/>
          <w:kern w:val="0"/>
          <w:sz w:val="32"/>
          <w:szCs w:val="32"/>
          <w:highlight w:val="none"/>
        </w:rPr>
      </w:pPr>
    </w:p>
    <w:p>
      <w:pPr>
        <w:adjustRightInd w:val="0"/>
        <w:jc w:val="center"/>
        <w:textAlignment w:val="baseline"/>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竞争性谈判文件备案表</w:t>
      </w:r>
      <w:bookmarkEnd w:id="0"/>
      <w:bookmarkEnd w:id="1"/>
    </w:p>
    <w:tbl>
      <w:tblPr>
        <w:tblStyle w:val="3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87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007" w:hRule="atLeast"/>
          <w:jc w:val="center"/>
        </w:trPr>
        <w:tc>
          <w:tcPr>
            <w:tcW w:w="870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宋体"/>
                <w:color w:val="auto"/>
                <w:sz w:val="24"/>
                <w:szCs w:val="24"/>
                <w:highlight w:val="none"/>
              </w:rPr>
            </w:pPr>
          </w:p>
          <w:p>
            <w:pPr>
              <w:tabs>
                <w:tab w:val="left" w:pos="5070"/>
              </w:tabs>
              <w:spacing w:line="360" w:lineRule="auto"/>
              <w:ind w:right="480"/>
              <w:jc w:val="righ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编制人：陈蕾</w:t>
            </w:r>
          </w:p>
          <w:p>
            <w:pPr>
              <w:tabs>
                <w:tab w:val="left" w:pos="5070"/>
              </w:tabs>
              <w:spacing w:line="360" w:lineRule="auto"/>
              <w:jc w:val="center"/>
              <w:rPr>
                <w:rFonts w:ascii="仿宋" w:hAnsi="仿宋" w:eastAsia="仿宋" w:cs="宋体"/>
                <w:color w:val="auto"/>
                <w:sz w:val="24"/>
                <w:szCs w:val="24"/>
                <w:highlight w:val="none"/>
              </w:rPr>
            </w:pPr>
          </w:p>
          <w:p>
            <w:pPr>
              <w:tabs>
                <w:tab w:val="left" w:pos="5070"/>
              </w:tabs>
              <w:spacing w:line="360" w:lineRule="auto"/>
              <w:jc w:val="center"/>
              <w:rPr>
                <w:rFonts w:ascii="仿宋" w:hAnsi="仿宋" w:eastAsia="仿宋" w:cs="宋体"/>
                <w:color w:val="auto"/>
                <w:sz w:val="24"/>
                <w:szCs w:val="24"/>
                <w:highlight w:val="none"/>
              </w:rPr>
            </w:pPr>
          </w:p>
          <w:p>
            <w:pPr>
              <w:tabs>
                <w:tab w:val="left" w:pos="5070"/>
              </w:tabs>
              <w:spacing w:line="360"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 xml:space="preserve">                                      日  期： 2021年</w:t>
            </w:r>
            <w:r>
              <w:rPr>
                <w:rFonts w:hint="eastAsia" w:ascii="仿宋" w:hAnsi="仿宋" w:eastAsia="仿宋" w:cs="宋体"/>
                <w:color w:val="auto"/>
                <w:sz w:val="24"/>
                <w:szCs w:val="24"/>
                <w:highlight w:val="none"/>
                <w:lang w:val="en-US" w:eastAsia="zh-CN"/>
              </w:rPr>
              <w:t>11</w:t>
            </w:r>
            <w:r>
              <w:rPr>
                <w:rFonts w:hint="eastAsia" w:ascii="仿宋" w:hAnsi="仿宋" w:eastAsia="仿宋" w:cs="宋体"/>
                <w:color w:val="auto"/>
                <w:sz w:val="24"/>
                <w:szCs w:val="24"/>
                <w:highlight w:val="none"/>
              </w:rPr>
              <w:t>月</w:t>
            </w:r>
            <w:r>
              <w:rPr>
                <w:rFonts w:hint="eastAsia" w:ascii="仿宋" w:hAnsi="仿宋" w:eastAsia="仿宋" w:cs="宋体"/>
                <w:color w:val="auto"/>
                <w:sz w:val="24"/>
                <w:szCs w:val="24"/>
                <w:highlight w:val="none"/>
                <w:lang w:val="en-US" w:eastAsia="zh-CN"/>
              </w:rPr>
              <w:t xml:space="preserve"> 1</w:t>
            </w:r>
            <w:r>
              <w:rPr>
                <w:rFonts w:hint="eastAsia" w:ascii="仿宋" w:hAnsi="仿宋" w:eastAsia="仿宋" w:cs="宋体"/>
                <w:color w:val="auto"/>
                <w:sz w:val="24"/>
                <w:szCs w:val="24"/>
                <w:highlight w:val="none"/>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200" w:hRule="atLeast"/>
          <w:jc w:val="center"/>
        </w:trPr>
        <w:tc>
          <w:tcPr>
            <w:tcW w:w="870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宋体"/>
                <w:color w:val="auto"/>
                <w:sz w:val="24"/>
                <w:szCs w:val="24"/>
                <w:highlight w:val="none"/>
              </w:rPr>
            </w:pPr>
          </w:p>
          <w:p>
            <w:pPr>
              <w:spacing w:line="360" w:lineRule="auto"/>
              <w:rPr>
                <w:rFonts w:ascii="仿宋" w:hAnsi="仿宋" w:eastAsia="仿宋" w:cs="宋体"/>
                <w:color w:val="auto"/>
                <w:sz w:val="24"/>
                <w:szCs w:val="24"/>
                <w:highlight w:val="none"/>
              </w:rPr>
            </w:pPr>
          </w:p>
          <w:p>
            <w:pPr>
              <w:spacing w:line="360" w:lineRule="auto"/>
              <w:ind w:firstLine="960" w:firstLineChars="4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采购人(盖章)              代表人(签字或盖章)</w:t>
            </w:r>
          </w:p>
          <w:p>
            <w:pPr>
              <w:spacing w:line="360" w:lineRule="auto"/>
              <w:jc w:val="center"/>
              <w:rPr>
                <w:rFonts w:ascii="仿宋" w:hAnsi="仿宋" w:eastAsia="仿宋" w:cs="宋体"/>
                <w:color w:val="auto"/>
                <w:sz w:val="24"/>
                <w:szCs w:val="24"/>
                <w:highlight w:val="none"/>
              </w:rPr>
            </w:pPr>
          </w:p>
          <w:p>
            <w:pPr>
              <w:ind w:firstLine="645"/>
              <w:rPr>
                <w:rFonts w:ascii="仿宋" w:hAnsi="仿宋" w:eastAsia="仿宋" w:cs="Times New Roman"/>
                <w:color w:val="auto"/>
                <w:sz w:val="24"/>
                <w:szCs w:val="24"/>
                <w:highlight w:val="none"/>
              </w:rPr>
            </w:pPr>
          </w:p>
          <w:p>
            <w:pPr>
              <w:spacing w:line="360" w:lineRule="auto"/>
              <w:jc w:val="center"/>
              <w:rPr>
                <w:rFonts w:ascii="仿宋" w:hAnsi="仿宋" w:eastAsia="仿宋" w:cs="宋体"/>
                <w:color w:val="auto"/>
                <w:sz w:val="24"/>
                <w:szCs w:val="24"/>
                <w:highlight w:val="none"/>
              </w:rPr>
            </w:pPr>
          </w:p>
          <w:p>
            <w:pPr>
              <w:spacing w:line="360" w:lineRule="auto"/>
              <w:ind w:firstLine="560"/>
              <w:jc w:val="center"/>
              <w:rPr>
                <w:rFonts w:ascii="仿宋" w:hAnsi="仿宋" w:eastAsia="仿宋" w:cs="宋体"/>
                <w:color w:val="auto"/>
                <w:sz w:val="24"/>
                <w:szCs w:val="24"/>
                <w:highlight w:val="none"/>
              </w:rPr>
            </w:pPr>
          </w:p>
          <w:p>
            <w:pPr>
              <w:spacing w:line="360" w:lineRule="auto"/>
              <w:jc w:val="center"/>
              <w:rPr>
                <w:rFonts w:ascii="仿宋" w:hAnsi="仿宋" w:eastAsia="仿宋" w:cs="宋体"/>
                <w:color w:val="auto"/>
                <w:sz w:val="24"/>
                <w:szCs w:val="24"/>
                <w:highlight w:val="none"/>
              </w:rPr>
            </w:pPr>
          </w:p>
          <w:p>
            <w:pPr>
              <w:spacing w:line="360"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 xml:space="preserve">                                    日  期： 2021年</w:t>
            </w:r>
            <w:r>
              <w:rPr>
                <w:rFonts w:hint="eastAsia" w:ascii="仿宋" w:hAnsi="仿宋" w:eastAsia="仿宋" w:cs="宋体"/>
                <w:color w:val="auto"/>
                <w:sz w:val="24"/>
                <w:szCs w:val="24"/>
                <w:highlight w:val="none"/>
                <w:lang w:val="en-US" w:eastAsia="zh-CN"/>
              </w:rPr>
              <w:t>11</w:t>
            </w:r>
            <w:r>
              <w:rPr>
                <w:rFonts w:hint="eastAsia" w:ascii="仿宋" w:hAnsi="仿宋" w:eastAsia="仿宋" w:cs="宋体"/>
                <w:color w:val="auto"/>
                <w:sz w:val="24"/>
                <w:szCs w:val="24"/>
                <w:highlight w:val="none"/>
              </w:rPr>
              <w:t>月</w:t>
            </w:r>
            <w:r>
              <w:rPr>
                <w:rFonts w:hint="eastAsia" w:ascii="仿宋" w:hAnsi="仿宋" w:eastAsia="仿宋" w:cs="宋体"/>
                <w:color w:val="auto"/>
                <w:sz w:val="24"/>
                <w:szCs w:val="24"/>
                <w:highlight w:val="none"/>
                <w:lang w:val="en-US" w:eastAsia="zh-CN"/>
              </w:rPr>
              <w:t xml:space="preserve"> 1 </w:t>
            </w:r>
            <w:r>
              <w:rPr>
                <w:rFonts w:hint="eastAsia" w:ascii="仿宋" w:hAnsi="仿宋" w:eastAsia="仿宋" w:cs="宋体"/>
                <w:color w:val="auto"/>
                <w:sz w:val="24"/>
                <w:szCs w:val="24"/>
                <w:highlight w:val="none"/>
              </w:rPr>
              <w:t>日</w:t>
            </w:r>
          </w:p>
          <w:p>
            <w:pPr>
              <w:spacing w:line="360" w:lineRule="auto"/>
              <w:rPr>
                <w:rFonts w:ascii="仿宋" w:hAnsi="仿宋" w:eastAsia="仿宋"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567" w:hRule="atLeast"/>
          <w:jc w:val="center"/>
        </w:trPr>
        <w:tc>
          <w:tcPr>
            <w:tcW w:w="8700"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宋体"/>
                <w:color w:val="auto"/>
                <w:sz w:val="24"/>
                <w:szCs w:val="24"/>
                <w:highlight w:val="none"/>
              </w:rPr>
            </w:pPr>
          </w:p>
          <w:p>
            <w:pPr>
              <w:spacing w:line="360" w:lineRule="auto"/>
              <w:jc w:val="center"/>
              <w:rPr>
                <w:rFonts w:ascii="仿宋" w:hAnsi="仿宋" w:eastAsia="仿宋" w:cs="宋体"/>
                <w:color w:val="auto"/>
                <w:sz w:val="24"/>
                <w:szCs w:val="24"/>
                <w:highlight w:val="none"/>
              </w:rPr>
            </w:pPr>
          </w:p>
          <w:p>
            <w:pPr>
              <w:spacing w:line="360" w:lineRule="auto"/>
              <w:ind w:firstLine="840" w:firstLineChars="35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 xml:space="preserve">      招标代理机构(盖章)         法定代表人(签字或盖章)</w:t>
            </w:r>
          </w:p>
          <w:p>
            <w:pPr>
              <w:spacing w:line="360" w:lineRule="auto"/>
              <w:ind w:firstLine="560"/>
              <w:jc w:val="center"/>
              <w:rPr>
                <w:rFonts w:ascii="仿宋" w:hAnsi="仿宋" w:eastAsia="仿宋" w:cs="宋体"/>
                <w:color w:val="auto"/>
                <w:sz w:val="24"/>
                <w:szCs w:val="24"/>
                <w:highlight w:val="none"/>
              </w:rPr>
            </w:pPr>
          </w:p>
          <w:p>
            <w:pPr>
              <w:spacing w:line="360" w:lineRule="auto"/>
              <w:jc w:val="center"/>
              <w:rPr>
                <w:rFonts w:ascii="仿宋" w:hAnsi="仿宋" w:eastAsia="仿宋" w:cs="宋体"/>
                <w:color w:val="auto"/>
                <w:sz w:val="24"/>
                <w:szCs w:val="24"/>
                <w:highlight w:val="none"/>
              </w:rPr>
            </w:pPr>
          </w:p>
          <w:p>
            <w:pPr>
              <w:spacing w:line="360"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 xml:space="preserve">                                    日  期： 2021年</w:t>
            </w:r>
            <w:r>
              <w:rPr>
                <w:rFonts w:hint="eastAsia" w:ascii="仿宋" w:hAnsi="仿宋" w:eastAsia="仿宋" w:cs="宋体"/>
                <w:color w:val="auto"/>
                <w:sz w:val="24"/>
                <w:szCs w:val="24"/>
                <w:highlight w:val="none"/>
                <w:lang w:val="en-US" w:eastAsia="zh-CN"/>
              </w:rPr>
              <w:t>11</w:t>
            </w:r>
            <w:r>
              <w:rPr>
                <w:rFonts w:hint="eastAsia" w:ascii="仿宋" w:hAnsi="仿宋" w:eastAsia="仿宋" w:cs="宋体"/>
                <w:color w:val="auto"/>
                <w:sz w:val="24"/>
                <w:szCs w:val="24"/>
                <w:highlight w:val="none"/>
              </w:rPr>
              <w:t>月</w:t>
            </w:r>
            <w:r>
              <w:rPr>
                <w:rFonts w:hint="eastAsia" w:ascii="仿宋" w:hAnsi="仿宋" w:eastAsia="仿宋" w:cs="宋体"/>
                <w:color w:val="auto"/>
                <w:sz w:val="24"/>
                <w:szCs w:val="24"/>
                <w:highlight w:val="none"/>
                <w:lang w:val="en-US" w:eastAsia="zh-CN"/>
              </w:rPr>
              <w:t>1</w:t>
            </w:r>
            <w:r>
              <w:rPr>
                <w:rFonts w:hint="eastAsia" w:ascii="仿宋" w:hAnsi="仿宋" w:eastAsia="仿宋" w:cs="宋体"/>
                <w:color w:val="auto"/>
                <w:sz w:val="24"/>
                <w:szCs w:val="24"/>
                <w:highlight w:val="none"/>
              </w:rPr>
              <w:t>日</w:t>
            </w:r>
          </w:p>
          <w:p>
            <w:pPr>
              <w:ind w:firstLine="645"/>
              <w:rPr>
                <w:rFonts w:ascii="仿宋" w:hAnsi="仿宋" w:eastAsia="仿宋" w:cs="Times New Roman"/>
                <w:color w:val="auto"/>
                <w:sz w:val="24"/>
                <w:szCs w:val="24"/>
                <w:highlight w:val="none"/>
              </w:rPr>
            </w:pPr>
          </w:p>
          <w:p>
            <w:pPr>
              <w:ind w:firstLine="645"/>
              <w:rPr>
                <w:rFonts w:ascii="仿宋" w:hAnsi="仿宋" w:eastAsia="仿宋" w:cs="Times New Roman"/>
                <w:color w:val="auto"/>
                <w:sz w:val="24"/>
                <w:szCs w:val="24"/>
                <w:highlight w:val="none"/>
              </w:rPr>
            </w:pPr>
          </w:p>
          <w:p>
            <w:pPr>
              <w:spacing w:line="360" w:lineRule="auto"/>
              <w:ind w:firstLine="5160" w:firstLineChars="2150"/>
              <w:rPr>
                <w:rFonts w:ascii="仿宋" w:hAnsi="仿宋" w:eastAsia="仿宋" w:cs="宋体"/>
                <w:color w:val="auto"/>
                <w:sz w:val="24"/>
                <w:szCs w:val="24"/>
                <w:highlight w:val="none"/>
              </w:rPr>
            </w:pPr>
          </w:p>
        </w:tc>
      </w:tr>
    </w:tbl>
    <w:p>
      <w:pPr>
        <w:keepNext/>
        <w:keepLines/>
        <w:tabs>
          <w:tab w:val="left" w:pos="0"/>
        </w:tabs>
        <w:autoSpaceDE w:val="0"/>
        <w:autoSpaceDN w:val="0"/>
        <w:adjustRightInd w:val="0"/>
        <w:spacing w:line="360" w:lineRule="auto"/>
        <w:jc w:val="center"/>
        <w:outlineLvl w:val="0"/>
        <w:rPr>
          <w:rFonts w:ascii="仿宋" w:hAnsi="仿宋" w:eastAsia="仿宋" w:cs="Times New Roman"/>
          <w:color w:val="auto"/>
          <w:sz w:val="24"/>
          <w:szCs w:val="24"/>
          <w:highlight w:val="none"/>
        </w:rPr>
      </w:pPr>
      <w:r>
        <w:rPr>
          <w:rFonts w:ascii="仿宋" w:hAnsi="仿宋" w:eastAsia="仿宋" w:cs="Times New Roman"/>
          <w:color w:val="auto"/>
          <w:sz w:val="24"/>
          <w:szCs w:val="24"/>
          <w:highlight w:val="none"/>
        </w:rPr>
        <w:br w:type="page"/>
      </w:r>
      <w:r>
        <w:rPr>
          <w:rFonts w:hint="eastAsia" w:ascii="仿宋" w:hAnsi="仿宋" w:eastAsia="仿宋" w:cs="Times New Roman"/>
          <w:b/>
          <w:color w:val="auto"/>
          <w:sz w:val="36"/>
          <w:szCs w:val="36"/>
          <w:highlight w:val="none"/>
        </w:rPr>
        <w:t xml:space="preserve">第一章   </w:t>
      </w:r>
      <w:bookmarkStart w:id="2" w:name="_Toc35393797"/>
      <w:bookmarkStart w:id="3" w:name="_Toc28359011"/>
      <w:bookmarkStart w:id="4" w:name="_Toc14577347"/>
      <w:bookmarkStart w:id="5" w:name="_Toc513029209"/>
      <w:bookmarkStart w:id="6" w:name="_Toc61149549"/>
      <w:r>
        <w:rPr>
          <w:rFonts w:hint="eastAsia" w:ascii="仿宋" w:hAnsi="仿宋" w:eastAsia="仿宋" w:cs="Times New Roman"/>
          <w:b/>
          <w:bCs/>
          <w:color w:val="auto"/>
          <w:kern w:val="44"/>
          <w:sz w:val="36"/>
          <w:szCs w:val="36"/>
          <w:highlight w:val="none"/>
        </w:rPr>
        <w:t>竞争性谈判公告</w:t>
      </w:r>
      <w:bookmarkEnd w:id="2"/>
      <w:bookmarkEnd w:id="3"/>
    </w:p>
    <w:p>
      <w:pPr>
        <w:pBdr>
          <w:top w:val="single" w:color="auto" w:sz="4" w:space="1"/>
          <w:left w:val="single" w:color="auto" w:sz="4" w:space="4"/>
          <w:bottom w:val="single" w:color="auto" w:sz="4" w:space="1"/>
          <w:right w:val="single" w:color="auto" w:sz="4" w:space="4"/>
        </w:pBdr>
        <w:spacing w:line="276" w:lineRule="auto"/>
        <w:ind w:firstLine="480" w:firstLineChars="200"/>
        <w:jc w:val="left"/>
        <w:rPr>
          <w:rFonts w:hint="eastAsia" w:ascii="仿宋" w:hAnsi="仿宋" w:eastAsia="仿宋" w:cs="仿宋"/>
          <w:color w:val="auto"/>
          <w:sz w:val="24"/>
          <w:highlight w:val="none"/>
        </w:rPr>
      </w:pPr>
      <w:bookmarkStart w:id="7" w:name="_Toc28359089"/>
      <w:bookmarkStart w:id="8" w:name="_Toc35393629"/>
      <w:bookmarkStart w:id="9" w:name="_Toc28359012"/>
      <w:bookmarkStart w:id="10" w:name="_Toc35393798"/>
      <w:r>
        <w:rPr>
          <w:rFonts w:hint="eastAsia" w:ascii="仿宋" w:hAnsi="仿宋" w:eastAsia="仿宋" w:cs="仿宋"/>
          <w:color w:val="auto"/>
          <w:sz w:val="24"/>
          <w:highlight w:val="none"/>
        </w:rPr>
        <w:t>项目概况</w:t>
      </w:r>
    </w:p>
    <w:p>
      <w:pPr>
        <w:pBdr>
          <w:top w:val="single" w:color="auto" w:sz="4" w:space="1"/>
          <w:left w:val="single" w:color="auto" w:sz="4" w:space="4"/>
          <w:bottom w:val="single" w:color="auto" w:sz="4" w:space="1"/>
          <w:right w:val="single" w:color="auto" w:sz="4" w:space="4"/>
        </w:pBdr>
        <w:spacing w:line="276"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bCs/>
          <w:color w:val="auto"/>
          <w:sz w:val="24"/>
          <w:highlight w:val="none"/>
          <w:u w:val="single"/>
          <w:lang w:eastAsia="zh-CN"/>
        </w:rPr>
        <w:t>南通高等师范学校附属小学张拉膜结构车棚项目</w:t>
      </w:r>
      <w:r>
        <w:rPr>
          <w:rFonts w:hint="eastAsia" w:ascii="仿宋" w:hAnsi="仿宋" w:eastAsia="仿宋" w:cs="仿宋"/>
          <w:color w:val="auto"/>
          <w:sz w:val="24"/>
          <w:highlight w:val="none"/>
        </w:rPr>
        <w:t>的潜在供应商应在</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u w:val="single"/>
          <w:lang w:eastAsia="zh-CN"/>
        </w:rPr>
        <w:t>南通开发区教育网</w:t>
      </w:r>
      <w:r>
        <w:rPr>
          <w:rFonts w:hint="eastAsia" w:ascii="仿宋" w:hAnsi="仿宋" w:eastAsia="仿宋" w:cs="仿宋"/>
          <w:color w:val="auto"/>
          <w:sz w:val="24"/>
          <w:highlight w:val="none"/>
        </w:rPr>
        <w:t>获取采购文件，并于</w:t>
      </w:r>
      <w:r>
        <w:rPr>
          <w:rFonts w:hint="eastAsia" w:ascii="仿宋" w:hAnsi="仿宋" w:eastAsia="仿宋" w:cs="仿宋"/>
          <w:color w:val="auto"/>
          <w:sz w:val="24"/>
          <w:highlight w:val="none"/>
          <w:u w:val="single"/>
        </w:rPr>
        <w:t>2021</w:t>
      </w:r>
      <w:r>
        <w:rPr>
          <w:rFonts w:hint="eastAsia" w:ascii="仿宋" w:hAnsi="仿宋" w:eastAsia="仿宋" w:cs="仿宋"/>
          <w:bCs/>
          <w:color w:val="auto"/>
          <w:sz w:val="24"/>
          <w:highlight w:val="none"/>
          <w:u w:val="single"/>
        </w:rPr>
        <w:t>年</w:t>
      </w:r>
      <w:r>
        <w:rPr>
          <w:rFonts w:hint="eastAsia" w:ascii="仿宋" w:hAnsi="仿宋" w:eastAsia="仿宋" w:cs="仿宋"/>
          <w:bCs/>
          <w:color w:val="auto"/>
          <w:sz w:val="24"/>
          <w:highlight w:val="none"/>
          <w:u w:val="single"/>
          <w:lang w:val="en-US" w:eastAsia="zh-CN"/>
        </w:rPr>
        <w:t>11</w:t>
      </w:r>
      <w:r>
        <w:rPr>
          <w:rFonts w:hint="eastAsia" w:ascii="仿宋" w:hAnsi="仿宋" w:eastAsia="仿宋" w:cs="仿宋"/>
          <w:bCs/>
          <w:color w:val="auto"/>
          <w:sz w:val="24"/>
          <w:highlight w:val="none"/>
          <w:u w:val="single"/>
        </w:rPr>
        <w:t>月</w:t>
      </w:r>
      <w:r>
        <w:rPr>
          <w:rFonts w:hint="eastAsia" w:ascii="仿宋" w:hAnsi="仿宋" w:eastAsia="仿宋" w:cs="仿宋"/>
          <w:bCs/>
          <w:color w:val="auto"/>
          <w:sz w:val="24"/>
          <w:highlight w:val="none"/>
          <w:u w:val="single"/>
          <w:lang w:val="en-US" w:eastAsia="zh-CN"/>
        </w:rPr>
        <w:t>9</w:t>
      </w:r>
      <w:r>
        <w:rPr>
          <w:rFonts w:hint="eastAsia" w:ascii="仿宋" w:hAnsi="仿宋" w:eastAsia="仿宋" w:cs="仿宋"/>
          <w:bCs/>
          <w:color w:val="auto"/>
          <w:sz w:val="24"/>
          <w:highlight w:val="none"/>
          <w:u w:val="single"/>
        </w:rPr>
        <w:t>日</w:t>
      </w:r>
      <w:r>
        <w:rPr>
          <w:rFonts w:hint="eastAsia" w:ascii="仿宋" w:hAnsi="仿宋" w:eastAsia="仿宋" w:cs="仿宋"/>
          <w:bCs/>
          <w:color w:val="auto"/>
          <w:sz w:val="24"/>
          <w:highlight w:val="none"/>
          <w:u w:val="single"/>
          <w:lang w:val="en-US" w:eastAsia="zh-CN"/>
        </w:rPr>
        <w:t>14</w:t>
      </w:r>
      <w:r>
        <w:rPr>
          <w:rFonts w:hint="eastAsia" w:ascii="仿宋" w:hAnsi="仿宋" w:eastAsia="仿宋" w:cs="仿宋"/>
          <w:bCs/>
          <w:color w:val="auto"/>
          <w:sz w:val="24"/>
          <w:highlight w:val="none"/>
          <w:u w:val="single"/>
        </w:rPr>
        <w:t>点</w:t>
      </w:r>
      <w:r>
        <w:rPr>
          <w:rFonts w:hint="eastAsia" w:ascii="仿宋" w:hAnsi="仿宋" w:eastAsia="仿宋" w:cs="仿宋"/>
          <w:bCs/>
          <w:color w:val="auto"/>
          <w:sz w:val="24"/>
          <w:highlight w:val="none"/>
          <w:u w:val="single"/>
          <w:lang w:val="en-US" w:eastAsia="zh-CN"/>
        </w:rPr>
        <w:t>0</w:t>
      </w:r>
      <w:r>
        <w:rPr>
          <w:rFonts w:hint="eastAsia" w:ascii="仿宋" w:hAnsi="仿宋" w:eastAsia="仿宋" w:cs="仿宋"/>
          <w:bCs/>
          <w:color w:val="auto"/>
          <w:sz w:val="24"/>
          <w:highlight w:val="none"/>
          <w:u w:val="single"/>
        </w:rPr>
        <w:t>0分</w:t>
      </w:r>
      <w:r>
        <w:rPr>
          <w:rFonts w:hint="eastAsia" w:ascii="仿宋" w:hAnsi="仿宋" w:eastAsia="仿宋" w:cs="仿宋"/>
          <w:bCs/>
          <w:color w:val="auto"/>
          <w:sz w:val="24"/>
          <w:highlight w:val="none"/>
        </w:rPr>
        <w:t>（北京时间）前提交响应文件</w:t>
      </w:r>
      <w:r>
        <w:rPr>
          <w:rFonts w:hint="eastAsia" w:ascii="仿宋" w:hAnsi="仿宋" w:eastAsia="仿宋" w:cs="仿宋"/>
          <w:color w:val="auto"/>
          <w:sz w:val="24"/>
          <w:highlight w:val="none"/>
        </w:rPr>
        <w:t>。</w:t>
      </w:r>
    </w:p>
    <w:p>
      <w:pPr>
        <w:keepNext/>
        <w:keepLines/>
        <w:spacing w:line="360" w:lineRule="auto"/>
        <w:outlineLvl w:val="1"/>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一、项目基本情况</w:t>
      </w:r>
      <w:bookmarkEnd w:id="7"/>
      <w:bookmarkEnd w:id="8"/>
      <w:bookmarkEnd w:id="9"/>
      <w:bookmarkEnd w:id="10"/>
    </w:p>
    <w:p>
      <w:pPr>
        <w:spacing w:line="360" w:lineRule="auto"/>
        <w:jc w:val="left"/>
        <w:rPr>
          <w:rFonts w:hint="default" w:ascii="仿宋" w:hAnsi="仿宋" w:eastAsia="仿宋" w:cs="Times New Roman"/>
          <w:b/>
          <w:bCs/>
          <w:color w:val="auto"/>
          <w:sz w:val="24"/>
          <w:szCs w:val="24"/>
          <w:highlight w:val="none"/>
          <w:shd w:val="clear" w:fill="FFC000"/>
          <w:lang w:val="en-US" w:eastAsia="zh-CN"/>
        </w:rPr>
      </w:pPr>
      <w:r>
        <w:rPr>
          <w:rFonts w:hint="eastAsia" w:ascii="仿宋" w:hAnsi="仿宋" w:eastAsia="仿宋" w:cs="Times New Roman"/>
          <w:color w:val="auto"/>
          <w:sz w:val="24"/>
          <w:szCs w:val="24"/>
          <w:highlight w:val="none"/>
        </w:rPr>
        <w:t>1、项目编号：NTXYJT20210</w:t>
      </w:r>
      <w:r>
        <w:rPr>
          <w:rFonts w:hint="eastAsia" w:ascii="仿宋" w:hAnsi="仿宋" w:eastAsia="仿宋" w:cs="Times New Roman"/>
          <w:color w:val="auto"/>
          <w:sz w:val="24"/>
          <w:szCs w:val="24"/>
          <w:highlight w:val="none"/>
          <w:lang w:val="en-US" w:eastAsia="zh-CN"/>
        </w:rPr>
        <w:t>92</w:t>
      </w:r>
    </w:p>
    <w:p>
      <w:pPr>
        <w:spacing w:line="360" w:lineRule="auto"/>
        <w:jc w:val="left"/>
        <w:rPr>
          <w:rFonts w:hint="eastAsia" w:ascii="仿宋" w:hAnsi="仿宋" w:eastAsia="仿宋" w:cs="Times New Roman"/>
          <w:color w:val="auto"/>
          <w:sz w:val="24"/>
          <w:szCs w:val="24"/>
          <w:highlight w:val="none"/>
          <w:lang w:eastAsia="zh-CN"/>
        </w:rPr>
      </w:pPr>
      <w:r>
        <w:rPr>
          <w:rFonts w:hint="eastAsia" w:ascii="仿宋" w:hAnsi="仿宋" w:eastAsia="仿宋" w:cs="Times New Roman"/>
          <w:color w:val="auto"/>
          <w:sz w:val="24"/>
          <w:szCs w:val="24"/>
          <w:highlight w:val="none"/>
        </w:rPr>
        <w:t>2、项目名称：</w:t>
      </w:r>
      <w:r>
        <w:rPr>
          <w:rFonts w:hint="eastAsia" w:ascii="仿宋" w:hAnsi="仿宋" w:eastAsia="仿宋" w:cs="Times New Roman"/>
          <w:b/>
          <w:bCs/>
          <w:color w:val="auto"/>
          <w:sz w:val="24"/>
          <w:szCs w:val="24"/>
          <w:highlight w:val="none"/>
          <w:lang w:eastAsia="zh-CN"/>
        </w:rPr>
        <w:t>南通高等师范学校附属小学张拉膜结构车棚项目</w:t>
      </w:r>
    </w:p>
    <w:p>
      <w:pPr>
        <w:spacing w:line="360" w:lineRule="auto"/>
        <w:jc w:val="left"/>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3、采购方式：竞争性谈判</w:t>
      </w:r>
    </w:p>
    <w:p>
      <w:pPr>
        <w:spacing w:line="360" w:lineRule="auto"/>
        <w:jc w:val="left"/>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4、预算金额：约</w:t>
      </w:r>
      <w:r>
        <w:rPr>
          <w:rFonts w:hint="eastAsia" w:ascii="仿宋" w:hAnsi="仿宋" w:eastAsia="仿宋" w:cs="Times New Roman"/>
          <w:color w:val="auto"/>
          <w:sz w:val="24"/>
          <w:szCs w:val="24"/>
          <w:highlight w:val="none"/>
          <w:lang w:val="en-US" w:eastAsia="zh-CN"/>
        </w:rPr>
        <w:t>15</w:t>
      </w:r>
      <w:r>
        <w:rPr>
          <w:rFonts w:hint="eastAsia" w:ascii="仿宋" w:hAnsi="仿宋" w:eastAsia="仿宋" w:cs="Times New Roman"/>
          <w:color w:val="auto"/>
          <w:sz w:val="24"/>
          <w:szCs w:val="24"/>
          <w:highlight w:val="none"/>
        </w:rPr>
        <w:t>万元</w:t>
      </w:r>
    </w:p>
    <w:p>
      <w:pPr>
        <w:spacing w:line="360" w:lineRule="auto"/>
        <w:ind w:right="254"/>
        <w:jc w:val="left"/>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5、最高限价：</w:t>
      </w:r>
      <w:r>
        <w:rPr>
          <w:rFonts w:hint="eastAsia" w:ascii="仿宋" w:hAnsi="仿宋" w:eastAsia="仿宋" w:cs="Times New Roman"/>
          <w:color w:val="auto"/>
          <w:sz w:val="24"/>
          <w:szCs w:val="24"/>
          <w:highlight w:val="none"/>
          <w:lang w:val="en-US" w:eastAsia="zh-CN"/>
        </w:rPr>
        <w:t>15</w:t>
      </w:r>
      <w:r>
        <w:rPr>
          <w:rFonts w:hint="eastAsia" w:ascii="仿宋" w:hAnsi="仿宋" w:eastAsia="仿宋" w:cs="Times New Roman"/>
          <w:color w:val="auto"/>
          <w:sz w:val="24"/>
          <w:szCs w:val="24"/>
          <w:highlight w:val="none"/>
        </w:rPr>
        <w:t>万元，本项目</w:t>
      </w:r>
      <w:r>
        <w:rPr>
          <w:rFonts w:ascii="仿宋" w:hAnsi="仿宋" w:eastAsia="仿宋" w:cs="Times New Roman"/>
          <w:color w:val="auto"/>
          <w:sz w:val="24"/>
          <w:szCs w:val="24"/>
          <w:highlight w:val="none"/>
        </w:rPr>
        <w:t>最终报价超过该最高限价的视为无效响应文件。</w:t>
      </w:r>
    </w:p>
    <w:p>
      <w:pPr>
        <w:spacing w:line="360" w:lineRule="auto"/>
        <w:jc w:val="left"/>
        <w:rPr>
          <w:rFonts w:hint="eastAsia"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rPr>
        <w:t>6、采购需求：详见</w:t>
      </w:r>
      <w:r>
        <w:rPr>
          <w:rFonts w:hint="eastAsia" w:ascii="仿宋" w:hAnsi="仿宋" w:eastAsia="仿宋" w:cs="Times New Roman"/>
          <w:color w:val="auto"/>
          <w:sz w:val="24"/>
          <w:szCs w:val="24"/>
          <w:highlight w:val="none"/>
          <w:lang w:eastAsia="zh-CN"/>
        </w:rPr>
        <w:t>项目需求</w:t>
      </w:r>
    </w:p>
    <w:p>
      <w:pPr>
        <w:spacing w:line="360" w:lineRule="auto"/>
        <w:jc w:val="left"/>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7、合同履行期限：自合同签订之日起30日历天内；</w:t>
      </w:r>
    </w:p>
    <w:p>
      <w:pPr>
        <w:spacing w:line="360" w:lineRule="auto"/>
        <w:jc w:val="left"/>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8、本项目（</w:t>
      </w:r>
      <w:r>
        <w:rPr>
          <w:rFonts w:hint="eastAsia" w:ascii="仿宋" w:hAnsi="仿宋" w:eastAsia="仿宋" w:cs="Times New Roman"/>
          <w:i/>
          <w:color w:val="auto"/>
          <w:sz w:val="24"/>
          <w:szCs w:val="24"/>
          <w:highlight w:val="none"/>
        </w:rPr>
        <w:t>是</w:t>
      </w:r>
      <w:r>
        <w:rPr>
          <w:rFonts w:ascii="仿宋" w:hAnsi="仿宋" w:eastAsia="仿宋" w:cs="Times New Roman"/>
          <w:i/>
          <w:color w:val="auto"/>
          <w:sz w:val="24"/>
          <w:szCs w:val="24"/>
          <w:highlight w:val="none"/>
        </w:rPr>
        <w:t>/否</w:t>
      </w:r>
      <w:r>
        <w:rPr>
          <w:rFonts w:hint="eastAsia" w:ascii="仿宋" w:hAnsi="仿宋" w:eastAsia="仿宋" w:cs="Times New Roman"/>
          <w:color w:val="auto"/>
          <w:sz w:val="24"/>
          <w:szCs w:val="24"/>
          <w:highlight w:val="none"/>
        </w:rPr>
        <w:t>）接受联合体</w:t>
      </w:r>
      <w:r>
        <w:rPr>
          <w:rFonts w:hint="eastAsia" w:ascii="仿宋" w:hAnsi="仿宋" w:eastAsia="仿宋" w:cs="Times New Roman"/>
          <w:color w:val="auto"/>
          <w:sz w:val="24"/>
          <w:szCs w:val="24"/>
          <w:highlight w:val="none"/>
          <w:u w:val="single"/>
        </w:rPr>
        <w:t xml:space="preserve"> 否 </w:t>
      </w:r>
      <w:r>
        <w:rPr>
          <w:rFonts w:hint="eastAsia" w:ascii="仿宋" w:hAnsi="仿宋" w:eastAsia="仿宋" w:cs="Times New Roman"/>
          <w:color w:val="auto"/>
          <w:sz w:val="24"/>
          <w:szCs w:val="24"/>
          <w:highlight w:val="none"/>
        </w:rPr>
        <w:t xml:space="preserve"> 。</w:t>
      </w:r>
    </w:p>
    <w:p>
      <w:pPr>
        <w:keepNext/>
        <w:keepLines/>
        <w:spacing w:line="360" w:lineRule="auto"/>
        <w:outlineLvl w:val="1"/>
        <w:rPr>
          <w:rFonts w:ascii="仿宋" w:hAnsi="仿宋" w:eastAsia="仿宋" w:cs="宋体"/>
          <w:bCs/>
          <w:color w:val="auto"/>
          <w:sz w:val="24"/>
          <w:szCs w:val="24"/>
          <w:highlight w:val="none"/>
        </w:rPr>
      </w:pPr>
      <w:bookmarkStart w:id="11" w:name="_Toc28359090"/>
      <w:bookmarkStart w:id="12" w:name="_Toc35393630"/>
      <w:bookmarkStart w:id="13" w:name="_Toc28359013"/>
      <w:bookmarkStart w:id="14" w:name="_Toc35393799"/>
      <w:r>
        <w:rPr>
          <w:rFonts w:hint="eastAsia" w:ascii="仿宋" w:hAnsi="仿宋" w:eastAsia="仿宋" w:cs="宋体"/>
          <w:bCs/>
          <w:color w:val="auto"/>
          <w:sz w:val="24"/>
          <w:szCs w:val="24"/>
          <w:highlight w:val="none"/>
        </w:rPr>
        <w:t>二、申请人的资格要求：</w:t>
      </w:r>
      <w:bookmarkEnd w:id="11"/>
      <w:bookmarkEnd w:id="12"/>
      <w:bookmarkEnd w:id="13"/>
      <w:bookmarkEnd w:id="14"/>
    </w:p>
    <w:p>
      <w:pPr>
        <w:snapToGrid w:val="0"/>
        <w:spacing w:line="360" w:lineRule="auto"/>
        <w:ind w:firstLine="236" w:firstLineChars="98"/>
        <w:rPr>
          <w:rFonts w:ascii="仿宋" w:hAnsi="仿宋" w:eastAsia="仿宋" w:cs="Arial"/>
          <w:b/>
          <w:color w:val="auto"/>
          <w:sz w:val="24"/>
          <w:szCs w:val="24"/>
          <w:highlight w:val="none"/>
        </w:rPr>
      </w:pPr>
      <w:r>
        <w:rPr>
          <w:rFonts w:hint="eastAsia" w:ascii="仿宋" w:hAnsi="仿宋" w:eastAsia="仿宋" w:cs="Times New Roman"/>
          <w:b/>
          <w:color w:val="auto"/>
          <w:sz w:val="24"/>
          <w:szCs w:val="24"/>
          <w:highlight w:val="none"/>
        </w:rPr>
        <w:t>（一）</w:t>
      </w:r>
      <w:r>
        <w:rPr>
          <w:rFonts w:ascii="仿宋" w:hAnsi="仿宋" w:eastAsia="仿宋" w:cs="Arial"/>
          <w:b/>
          <w:color w:val="auto"/>
          <w:sz w:val="24"/>
          <w:szCs w:val="24"/>
          <w:highlight w:val="none"/>
        </w:rPr>
        <w:t>符合政府采购法第二十二条</w:t>
      </w:r>
      <w:r>
        <w:rPr>
          <w:rFonts w:hint="eastAsia" w:ascii="仿宋" w:hAnsi="仿宋" w:eastAsia="仿宋" w:cs="Arial"/>
          <w:b/>
          <w:color w:val="auto"/>
          <w:sz w:val="24"/>
          <w:szCs w:val="24"/>
          <w:highlight w:val="none"/>
        </w:rPr>
        <w:t>第一款</w:t>
      </w:r>
      <w:r>
        <w:rPr>
          <w:rFonts w:ascii="仿宋" w:hAnsi="仿宋" w:eastAsia="仿宋" w:cs="Arial"/>
          <w:b/>
          <w:color w:val="auto"/>
          <w:sz w:val="24"/>
          <w:szCs w:val="24"/>
          <w:highlight w:val="none"/>
        </w:rPr>
        <w:t>规定</w:t>
      </w:r>
      <w:r>
        <w:rPr>
          <w:rFonts w:hint="eastAsia" w:ascii="仿宋" w:hAnsi="仿宋" w:eastAsia="仿宋" w:cs="Arial"/>
          <w:b/>
          <w:color w:val="auto"/>
          <w:sz w:val="24"/>
          <w:szCs w:val="24"/>
          <w:highlight w:val="none"/>
        </w:rPr>
        <w:t>的条件，并提供下列材料</w:t>
      </w:r>
      <w:r>
        <w:rPr>
          <w:rFonts w:ascii="仿宋" w:hAnsi="仿宋" w:eastAsia="仿宋" w:cs="Arial"/>
          <w:b/>
          <w:color w:val="auto"/>
          <w:sz w:val="24"/>
          <w:szCs w:val="24"/>
          <w:highlight w:val="none"/>
        </w:rPr>
        <w:t>；</w:t>
      </w:r>
    </w:p>
    <w:p>
      <w:pPr>
        <w:widowControl/>
        <w:shd w:val="clear" w:color="auto" w:fill="FFFFFF"/>
        <w:spacing w:line="360" w:lineRule="auto"/>
        <w:ind w:firstLine="480"/>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1、</w:t>
      </w:r>
      <w:r>
        <w:rPr>
          <w:rFonts w:hint="eastAsia" w:ascii="仿宋" w:hAnsi="仿宋" w:eastAsia="仿宋" w:cs="仿宋"/>
          <w:color w:val="auto"/>
          <w:sz w:val="24"/>
          <w:highlight w:val="none"/>
        </w:rPr>
        <w:t>具有独立承担民事责任的能力</w:t>
      </w:r>
      <w:r>
        <w:rPr>
          <w:rFonts w:hint="eastAsia" w:ascii="仿宋" w:hAnsi="仿宋" w:eastAsia="仿宋" w:cs="Arial"/>
          <w:color w:val="auto"/>
          <w:kern w:val="0"/>
          <w:sz w:val="24"/>
          <w:szCs w:val="24"/>
          <w:highlight w:val="none"/>
        </w:rPr>
        <w:t>，提供有效营业执照（副本）（提供原件复印件）；</w:t>
      </w:r>
    </w:p>
    <w:p>
      <w:pPr>
        <w:widowControl/>
        <w:shd w:val="clear" w:color="auto" w:fill="FFFFFF"/>
        <w:spacing w:line="360" w:lineRule="auto"/>
        <w:ind w:firstLine="345" w:firstLineChars="150"/>
        <w:jc w:val="left"/>
        <w:rPr>
          <w:rFonts w:ascii="仿宋" w:hAnsi="仿宋" w:eastAsia="仿宋" w:cs="宋体"/>
          <w:color w:val="auto"/>
          <w:sz w:val="24"/>
          <w:szCs w:val="24"/>
          <w:highlight w:val="none"/>
        </w:rPr>
      </w:pPr>
      <w:r>
        <w:rPr>
          <w:rFonts w:hint="eastAsia" w:ascii="仿宋" w:hAnsi="仿宋" w:eastAsia="仿宋" w:cs="Arial"/>
          <w:color w:val="auto"/>
          <w:kern w:val="0"/>
          <w:sz w:val="23"/>
          <w:szCs w:val="23"/>
          <w:highlight w:val="none"/>
        </w:rPr>
        <w:t>2.具有良好的商业信誉和健全的财务会计制度</w:t>
      </w:r>
      <w:r>
        <w:rPr>
          <w:rFonts w:hint="eastAsia" w:ascii="仿宋" w:hAnsi="仿宋" w:eastAsia="仿宋" w:cs="宋体"/>
          <w:color w:val="auto"/>
          <w:sz w:val="24"/>
          <w:szCs w:val="24"/>
          <w:highlight w:val="none"/>
        </w:rPr>
        <w:t>【提供上一年度的财务状况报告（成立不满一年不需提供）】；</w:t>
      </w:r>
    </w:p>
    <w:p>
      <w:pPr>
        <w:snapToGrid w:val="0"/>
        <w:spacing w:line="440" w:lineRule="exact"/>
        <w:ind w:firstLine="460" w:firstLineChars="200"/>
        <w:rPr>
          <w:rFonts w:ascii="仿宋" w:hAnsi="仿宋" w:eastAsia="仿宋" w:cs="Arial"/>
          <w:color w:val="auto"/>
          <w:sz w:val="23"/>
          <w:szCs w:val="23"/>
          <w:highlight w:val="none"/>
        </w:rPr>
      </w:pPr>
      <w:r>
        <w:rPr>
          <w:rFonts w:hint="eastAsia" w:ascii="仿宋" w:hAnsi="仿宋" w:eastAsia="仿宋" w:cs="Arial"/>
          <w:color w:val="auto"/>
          <w:sz w:val="23"/>
          <w:szCs w:val="23"/>
          <w:highlight w:val="none"/>
        </w:rPr>
        <w:t>3.具有履行合同所必需的设备和专业技术能力</w:t>
      </w:r>
      <w:r>
        <w:rPr>
          <w:rFonts w:ascii="仿宋" w:hAnsi="仿宋" w:eastAsia="仿宋" w:cs="Times New Roman"/>
          <w:color w:val="auto"/>
          <w:highlight w:val="none"/>
        </w:rPr>
        <w:t>（</w:t>
      </w:r>
      <w:r>
        <w:rPr>
          <w:rFonts w:ascii="仿宋" w:hAnsi="仿宋" w:eastAsia="仿宋" w:cs="Arial"/>
          <w:color w:val="auto"/>
          <w:sz w:val="23"/>
          <w:szCs w:val="23"/>
          <w:highlight w:val="none"/>
        </w:rPr>
        <w:t>提供承诺函</w:t>
      </w:r>
      <w:r>
        <w:rPr>
          <w:rFonts w:hint="eastAsia" w:ascii="仿宋" w:hAnsi="仿宋" w:eastAsia="仿宋" w:cs="Arial"/>
          <w:color w:val="auto"/>
          <w:sz w:val="23"/>
          <w:szCs w:val="23"/>
          <w:highlight w:val="none"/>
        </w:rPr>
        <w:t>，</w:t>
      </w:r>
      <w:r>
        <w:rPr>
          <w:rFonts w:ascii="仿宋" w:hAnsi="仿宋" w:eastAsia="仿宋" w:cs="Arial"/>
          <w:color w:val="auto"/>
          <w:sz w:val="23"/>
          <w:szCs w:val="23"/>
          <w:highlight w:val="none"/>
        </w:rPr>
        <w:t>按第七章后附格）</w:t>
      </w:r>
      <w:r>
        <w:rPr>
          <w:rFonts w:hint="eastAsia" w:ascii="仿宋" w:hAnsi="仿宋" w:eastAsia="仿宋" w:cs="Arial"/>
          <w:color w:val="auto"/>
          <w:sz w:val="23"/>
          <w:szCs w:val="23"/>
          <w:highlight w:val="none"/>
        </w:rPr>
        <w:t>；</w:t>
      </w:r>
    </w:p>
    <w:p>
      <w:pPr>
        <w:snapToGrid w:val="0"/>
        <w:spacing w:line="440" w:lineRule="exact"/>
        <w:ind w:firstLine="460" w:firstLineChars="200"/>
        <w:rPr>
          <w:rFonts w:ascii="仿宋" w:hAnsi="仿宋" w:eastAsia="仿宋" w:cs="Arial"/>
          <w:color w:val="auto"/>
          <w:sz w:val="23"/>
          <w:szCs w:val="23"/>
          <w:highlight w:val="none"/>
        </w:rPr>
      </w:pPr>
      <w:r>
        <w:rPr>
          <w:rFonts w:hint="eastAsia" w:ascii="仿宋" w:hAnsi="仿宋" w:eastAsia="仿宋" w:cs="Arial"/>
          <w:color w:val="auto"/>
          <w:sz w:val="23"/>
          <w:szCs w:val="23"/>
          <w:highlight w:val="none"/>
        </w:rPr>
        <w:t>4.具有依法缴纳税收和社会保障资金的良好记录（</w:t>
      </w:r>
      <w:r>
        <w:rPr>
          <w:rFonts w:hint="eastAsia" w:ascii="仿宋" w:hAnsi="仿宋" w:eastAsia="仿宋" w:cs="仿宋"/>
          <w:color w:val="auto"/>
          <w:sz w:val="23"/>
          <w:szCs w:val="23"/>
          <w:highlight w:val="none"/>
        </w:rPr>
        <w:t>提供</w:t>
      </w:r>
      <w:r>
        <w:rPr>
          <w:rFonts w:hint="eastAsia" w:ascii="仿宋" w:hAnsi="仿宋" w:eastAsia="仿宋" w:cs="仿宋"/>
          <w:color w:val="auto"/>
          <w:sz w:val="23"/>
          <w:szCs w:val="23"/>
          <w:highlight w:val="none"/>
          <w:lang w:val="en-US" w:eastAsia="zh-CN"/>
        </w:rPr>
        <w:t>自本公告发布日前</w:t>
      </w:r>
      <w:r>
        <w:rPr>
          <w:rFonts w:hint="eastAsia" w:ascii="仿宋" w:hAnsi="仿宋" w:eastAsia="仿宋" w:cs="仿宋"/>
          <w:color w:val="auto"/>
          <w:sz w:val="23"/>
          <w:szCs w:val="23"/>
          <w:highlight w:val="none"/>
        </w:rPr>
        <w:t>6个月内任意1个月的依法缴纳税收和社会保障资金的相关材料）</w:t>
      </w:r>
      <w:r>
        <w:rPr>
          <w:rFonts w:hint="eastAsia" w:ascii="仿宋" w:hAnsi="仿宋" w:eastAsia="仿宋" w:cs="Arial"/>
          <w:color w:val="auto"/>
          <w:sz w:val="23"/>
          <w:szCs w:val="23"/>
          <w:highlight w:val="none"/>
        </w:rPr>
        <w:t>；</w:t>
      </w:r>
    </w:p>
    <w:p>
      <w:pPr>
        <w:widowControl/>
        <w:shd w:val="clear" w:color="auto" w:fill="FFFFFF"/>
        <w:spacing w:line="360" w:lineRule="auto"/>
        <w:ind w:firstLine="480"/>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5、</w:t>
      </w:r>
      <w:r>
        <w:rPr>
          <w:rFonts w:hint="eastAsia" w:ascii="仿宋" w:hAnsi="仿宋" w:eastAsia="仿宋" w:cs="宋体"/>
          <w:color w:val="auto"/>
          <w:kern w:val="0"/>
          <w:sz w:val="24"/>
          <w:szCs w:val="24"/>
          <w:highlight w:val="none"/>
        </w:rPr>
        <w:t>法定代表人参加投标的，必须提供法人身份证明原件及本人身份证复印件；非法定代表人参加的，必须提供法定代表人签名或盖章的授权委托书原件及被委托授权人身份证复印件的这两项（须加盖公章）；</w:t>
      </w:r>
    </w:p>
    <w:p>
      <w:pPr>
        <w:spacing w:line="360" w:lineRule="auto"/>
        <w:ind w:firstLine="480" w:firstLineChars="200"/>
        <w:rPr>
          <w:rFonts w:ascii="仿宋" w:hAnsi="仿宋" w:eastAsia="仿宋" w:cs="Arial"/>
          <w:color w:val="auto"/>
          <w:kern w:val="0"/>
          <w:sz w:val="24"/>
          <w:szCs w:val="24"/>
          <w:highlight w:val="none"/>
        </w:rPr>
      </w:pPr>
      <w:r>
        <w:rPr>
          <w:rFonts w:hint="eastAsia" w:ascii="仿宋" w:hAnsi="仿宋" w:eastAsia="仿宋" w:cs="Arial"/>
          <w:color w:val="auto"/>
          <w:kern w:val="0"/>
          <w:sz w:val="24"/>
          <w:szCs w:val="24"/>
          <w:highlight w:val="none"/>
        </w:rPr>
        <w:t>6、响应供应商未被“信用中国”网站（www.creditchina.gov.cn）、</w:t>
      </w:r>
      <w:r>
        <w:rPr>
          <w:rFonts w:hint="eastAsia" w:ascii="仿宋" w:hAnsi="仿宋" w:eastAsia="仿宋" w:cs="Arial"/>
          <w:color w:val="auto"/>
          <w:kern w:val="0"/>
          <w:sz w:val="24"/>
          <w:szCs w:val="24"/>
          <w:highlight w:val="none"/>
          <w:lang w:eastAsia="zh-CN"/>
        </w:rPr>
        <w:t>中国政府采购网</w:t>
      </w:r>
      <w:r>
        <w:rPr>
          <w:rFonts w:hint="eastAsia" w:ascii="仿宋" w:hAnsi="仿宋" w:eastAsia="仿宋" w:cs="Arial"/>
          <w:color w:val="auto"/>
          <w:kern w:val="0"/>
          <w:sz w:val="24"/>
          <w:szCs w:val="24"/>
          <w:highlight w:val="none"/>
        </w:rPr>
        <w:t>（www.ccgp.gov.cn）列入失信被执行人、重大税收违法案件当事人名单、政府采购严重失信行为记录名单；为确保政府采购守法供应商公平参加政府采购活动，采购代理机构将在开标开始后一个小时内，通过信用中国网站对供应商信用信息进行查询查证，并将查询记录截屏打印保存在采购档案内。若被查实为失信单位的，资格审查不予通过。</w:t>
      </w:r>
    </w:p>
    <w:p>
      <w:pPr>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Arial"/>
          <w:color w:val="auto"/>
          <w:kern w:val="0"/>
          <w:sz w:val="24"/>
          <w:szCs w:val="24"/>
          <w:highlight w:val="none"/>
        </w:rPr>
        <w:t>7、</w:t>
      </w:r>
      <w:r>
        <w:rPr>
          <w:rFonts w:hint="eastAsia" w:ascii="仿宋" w:hAnsi="仿宋" w:eastAsia="仿宋" w:cs="宋体"/>
          <w:color w:val="auto"/>
          <w:sz w:val="24"/>
          <w:szCs w:val="24"/>
          <w:highlight w:val="none"/>
        </w:rPr>
        <w:t>关于资格文件的声明函（格式按第五章）</w:t>
      </w:r>
    </w:p>
    <w:p>
      <w:pPr>
        <w:snapToGrid w:val="0"/>
        <w:spacing w:line="360" w:lineRule="auto"/>
        <w:ind w:firstLine="480" w:firstLineChars="200"/>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8、符合法律、法规规定的其他条件。</w:t>
      </w:r>
    </w:p>
    <w:p>
      <w:pPr>
        <w:spacing w:line="360" w:lineRule="auto"/>
        <w:ind w:firstLine="482" w:firstLineChars="200"/>
        <w:rPr>
          <w:rFonts w:ascii="仿宋" w:hAnsi="仿宋" w:eastAsia="仿宋" w:cs="Times New Roman"/>
          <w:color w:val="auto"/>
          <w:sz w:val="24"/>
          <w:szCs w:val="24"/>
          <w:highlight w:val="none"/>
          <w:u w:val="single"/>
        </w:rPr>
      </w:pPr>
      <w:bookmarkStart w:id="15" w:name="_Toc28359091"/>
      <w:bookmarkStart w:id="16" w:name="_Toc28359014"/>
      <w:r>
        <w:rPr>
          <w:rFonts w:ascii="仿宋" w:hAnsi="仿宋" w:eastAsia="仿宋" w:cs="Times New Roman"/>
          <w:b/>
          <w:color w:val="auto"/>
          <w:sz w:val="24"/>
          <w:szCs w:val="24"/>
          <w:highlight w:val="none"/>
        </w:rPr>
        <w:t>（</w:t>
      </w:r>
      <w:r>
        <w:rPr>
          <w:rFonts w:hint="eastAsia" w:ascii="仿宋" w:hAnsi="仿宋" w:eastAsia="仿宋" w:cs="Times New Roman"/>
          <w:b/>
          <w:color w:val="auto"/>
          <w:sz w:val="24"/>
          <w:szCs w:val="24"/>
          <w:highlight w:val="none"/>
        </w:rPr>
        <w:t>二</w:t>
      </w:r>
      <w:r>
        <w:rPr>
          <w:rFonts w:ascii="仿宋" w:hAnsi="仿宋" w:eastAsia="仿宋" w:cs="Times New Roman"/>
          <w:b/>
          <w:color w:val="auto"/>
          <w:sz w:val="24"/>
          <w:szCs w:val="24"/>
          <w:highlight w:val="none"/>
        </w:rPr>
        <w:t>）</w:t>
      </w:r>
      <w:r>
        <w:rPr>
          <w:rFonts w:hint="eastAsia" w:ascii="仿宋" w:hAnsi="仿宋" w:eastAsia="仿宋" w:cs="Times New Roman"/>
          <w:b/>
          <w:color w:val="auto"/>
          <w:sz w:val="24"/>
          <w:szCs w:val="24"/>
          <w:highlight w:val="none"/>
        </w:rPr>
        <w:t>落实政府采购政策需满足的资格要求：</w:t>
      </w:r>
      <w:r>
        <w:rPr>
          <w:rFonts w:hint="eastAsia" w:ascii="仿宋" w:hAnsi="仿宋" w:eastAsia="仿宋" w:cs="Times New Roman"/>
          <w:color w:val="auto"/>
          <w:sz w:val="24"/>
          <w:szCs w:val="24"/>
          <w:highlight w:val="none"/>
          <w:u w:val="single"/>
        </w:rPr>
        <w:t>/</w:t>
      </w:r>
    </w:p>
    <w:p>
      <w:pPr>
        <w:snapToGrid w:val="0"/>
        <w:spacing w:line="360" w:lineRule="auto"/>
        <w:ind w:firstLine="482" w:firstLineChars="200"/>
        <w:contextualSpacing/>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(三)本项目的特定资格要求：</w:t>
      </w:r>
      <w:bookmarkStart w:id="17" w:name="_Toc35393631"/>
      <w:bookmarkStart w:id="18" w:name="_Toc35393800"/>
    </w:p>
    <w:p>
      <w:pPr>
        <w:adjustRightInd w:val="0"/>
        <w:spacing w:line="460" w:lineRule="exact"/>
        <w:ind w:firstLine="480" w:firstLineChars="200"/>
        <w:rPr>
          <w:rFonts w:ascii="仿宋" w:hAnsi="仿宋" w:eastAsia="仿宋" w:cs="仿宋"/>
          <w:b/>
          <w:color w:val="auto"/>
          <w:kern w:val="0"/>
          <w:sz w:val="24"/>
          <w:highlight w:val="none"/>
          <w:u w:val="single"/>
        </w:rPr>
      </w:pPr>
      <w:r>
        <w:rPr>
          <w:rFonts w:hint="eastAsia" w:ascii="仿宋" w:hAnsi="仿宋" w:eastAsia="仿宋" w:cs="仿宋"/>
          <w:snapToGrid w:val="0"/>
          <w:color w:val="auto"/>
          <w:kern w:val="0"/>
          <w:sz w:val="24"/>
          <w:highlight w:val="none"/>
        </w:rPr>
        <w:t>（1）企业资质条件：</w:t>
      </w:r>
      <w:r>
        <w:rPr>
          <w:rFonts w:hint="eastAsia" w:ascii="仿宋" w:hAnsi="仿宋" w:eastAsia="仿宋" w:cs="仿宋"/>
          <w:color w:val="auto"/>
          <w:sz w:val="24"/>
          <w:highlight w:val="none"/>
        </w:rPr>
        <w:t>具有独立法人资格和</w:t>
      </w:r>
      <w:r>
        <w:rPr>
          <w:rFonts w:hint="eastAsia" w:ascii="仿宋" w:hAnsi="仿宋" w:eastAsia="仿宋" w:cs="仿宋"/>
          <w:b/>
          <w:color w:val="auto"/>
          <w:sz w:val="24"/>
          <w:highlight w:val="none"/>
          <w:u w:val="single"/>
        </w:rPr>
        <w:t>建筑工程施工总承包三级及以上资质，</w:t>
      </w:r>
      <w:r>
        <w:rPr>
          <w:rFonts w:hint="eastAsia" w:ascii="仿宋" w:hAnsi="仿宋" w:eastAsia="仿宋" w:cs="仿宋"/>
          <w:color w:val="auto"/>
          <w:sz w:val="24"/>
          <w:highlight w:val="none"/>
        </w:rPr>
        <w:t>并在人员、设备、资金等方面具有相应的施工能力。</w:t>
      </w:r>
    </w:p>
    <w:p>
      <w:pPr>
        <w:pStyle w:val="2"/>
        <w:spacing w:line="360" w:lineRule="auto"/>
        <w:ind w:firstLine="480" w:firstLineChars="200"/>
        <w:rPr>
          <w:rFonts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w:t>
      </w:r>
      <w:r>
        <w:rPr>
          <w:rFonts w:hint="eastAsia" w:ascii="仿宋" w:hAnsi="仿宋" w:eastAsia="仿宋" w:cs="仿宋"/>
          <w:snapToGrid w:val="0"/>
          <w:color w:val="auto"/>
          <w:kern w:val="0"/>
          <w:sz w:val="24"/>
          <w:highlight w:val="none"/>
          <w:lang w:val="en-US" w:eastAsia="zh-CN"/>
        </w:rPr>
        <w:t>2</w:t>
      </w:r>
      <w:r>
        <w:rPr>
          <w:rFonts w:hint="eastAsia" w:ascii="仿宋" w:hAnsi="仿宋" w:eastAsia="仿宋" w:cs="仿宋"/>
          <w:snapToGrid w:val="0"/>
          <w:color w:val="auto"/>
          <w:kern w:val="0"/>
          <w:sz w:val="24"/>
          <w:highlight w:val="none"/>
        </w:rPr>
        <w:t>）拟派项目负责人及授权委托人为投标企业正式人员证明材料复印件（必须提供：①投标企业与项目负责人、授权委托人双方签订的有效劳动合同书；②社保机构出具的由企业为拟派项目负责人、授权委托人缴纳的202</w:t>
      </w:r>
      <w:r>
        <w:rPr>
          <w:rFonts w:hint="eastAsia" w:ascii="仿宋" w:hAnsi="仿宋" w:eastAsia="仿宋" w:cs="仿宋"/>
          <w:snapToGrid w:val="0"/>
          <w:color w:val="auto"/>
          <w:kern w:val="0"/>
          <w:sz w:val="24"/>
          <w:highlight w:val="none"/>
          <w:lang w:val="en-US" w:eastAsia="zh-CN"/>
        </w:rPr>
        <w:t>1</w:t>
      </w:r>
      <w:r>
        <w:rPr>
          <w:rFonts w:hint="eastAsia" w:ascii="仿宋" w:hAnsi="仿宋" w:eastAsia="仿宋" w:cs="仿宋"/>
          <w:snapToGrid w:val="0"/>
          <w:color w:val="auto"/>
          <w:kern w:val="0"/>
          <w:sz w:val="24"/>
          <w:highlight w:val="none"/>
        </w:rPr>
        <w:t>年</w:t>
      </w:r>
      <w:r>
        <w:rPr>
          <w:rFonts w:hint="eastAsia" w:ascii="仿宋" w:hAnsi="仿宋" w:eastAsia="仿宋" w:cs="仿宋"/>
          <w:snapToGrid w:val="0"/>
          <w:color w:val="auto"/>
          <w:kern w:val="0"/>
          <w:sz w:val="24"/>
          <w:highlight w:val="none"/>
          <w:lang w:val="en-US" w:eastAsia="zh-CN"/>
        </w:rPr>
        <w:t>7</w:t>
      </w:r>
      <w:r>
        <w:rPr>
          <w:rFonts w:hint="eastAsia" w:ascii="仿宋" w:hAnsi="仿宋" w:eastAsia="仿宋" w:cs="仿宋"/>
          <w:snapToGrid w:val="0"/>
          <w:color w:val="auto"/>
          <w:kern w:val="0"/>
          <w:sz w:val="24"/>
          <w:highlight w:val="none"/>
        </w:rPr>
        <w:t>月至2021年</w:t>
      </w:r>
      <w:r>
        <w:rPr>
          <w:rFonts w:hint="eastAsia" w:ascii="仿宋" w:hAnsi="仿宋" w:eastAsia="仿宋" w:cs="仿宋"/>
          <w:snapToGrid w:val="0"/>
          <w:color w:val="auto"/>
          <w:kern w:val="0"/>
          <w:sz w:val="24"/>
          <w:highlight w:val="none"/>
          <w:lang w:val="en-US" w:eastAsia="zh-CN"/>
        </w:rPr>
        <w:t>9</w:t>
      </w:r>
      <w:r>
        <w:rPr>
          <w:rFonts w:hint="eastAsia" w:ascii="仿宋" w:hAnsi="仿宋" w:eastAsia="仿宋" w:cs="仿宋"/>
          <w:snapToGrid w:val="0"/>
          <w:color w:val="auto"/>
          <w:kern w:val="0"/>
          <w:sz w:val="24"/>
          <w:highlight w:val="none"/>
        </w:rPr>
        <w:t>月连续</w:t>
      </w:r>
      <w:r>
        <w:rPr>
          <w:rFonts w:hint="eastAsia" w:ascii="仿宋" w:hAnsi="仿宋" w:eastAsia="仿宋" w:cs="仿宋"/>
          <w:snapToGrid w:val="0"/>
          <w:color w:val="auto"/>
          <w:kern w:val="0"/>
          <w:sz w:val="24"/>
          <w:highlight w:val="none"/>
          <w:lang w:val="en-US" w:eastAsia="zh-CN"/>
        </w:rPr>
        <w:t>3</w:t>
      </w:r>
      <w:r>
        <w:rPr>
          <w:rFonts w:hint="eastAsia" w:ascii="仿宋" w:hAnsi="仿宋" w:eastAsia="仿宋" w:cs="仿宋"/>
          <w:snapToGrid w:val="0"/>
          <w:color w:val="auto"/>
          <w:kern w:val="0"/>
          <w:sz w:val="24"/>
          <w:highlight w:val="none"/>
        </w:rPr>
        <w:t>个月的养老保险缴费清单）；</w:t>
      </w:r>
    </w:p>
    <w:p>
      <w:pPr>
        <w:snapToGrid w:val="0"/>
        <w:spacing w:line="360" w:lineRule="auto"/>
        <w:ind w:firstLine="482" w:firstLineChars="200"/>
        <w:contextualSpacing/>
        <w:rPr>
          <w:rFonts w:ascii="仿宋" w:hAnsi="仿宋" w:eastAsia="仿宋" w:cs="仿宋"/>
          <w:snapToGrid w:val="0"/>
          <w:color w:val="auto"/>
          <w:kern w:val="0"/>
          <w:sz w:val="24"/>
          <w:highlight w:val="none"/>
        </w:rPr>
      </w:pPr>
      <w:r>
        <w:rPr>
          <w:rFonts w:hint="eastAsia" w:ascii="仿宋" w:hAnsi="仿宋" w:eastAsia="仿宋" w:cs="Times New Roman"/>
          <w:b/>
          <w:color w:val="auto"/>
          <w:sz w:val="24"/>
          <w:szCs w:val="24"/>
          <w:highlight w:val="none"/>
        </w:rPr>
        <w:t>（</w:t>
      </w:r>
      <w:r>
        <w:rPr>
          <w:rFonts w:hint="eastAsia" w:ascii="仿宋" w:hAnsi="仿宋" w:eastAsia="仿宋" w:cs="Times New Roman"/>
          <w:b/>
          <w:color w:val="auto"/>
          <w:sz w:val="24"/>
          <w:szCs w:val="24"/>
          <w:highlight w:val="none"/>
          <w:lang w:val="en-US" w:eastAsia="zh-CN"/>
        </w:rPr>
        <w:t>3</w:t>
      </w:r>
      <w:r>
        <w:rPr>
          <w:rFonts w:hint="eastAsia" w:ascii="仿宋" w:hAnsi="仿宋" w:eastAsia="仿宋" w:cs="Times New Roman"/>
          <w:b/>
          <w:color w:val="auto"/>
          <w:sz w:val="24"/>
          <w:szCs w:val="24"/>
          <w:highlight w:val="none"/>
        </w:rPr>
        <w:t>）</w:t>
      </w:r>
      <w:r>
        <w:rPr>
          <w:rFonts w:hint="eastAsia" w:ascii="仿宋" w:hAnsi="仿宋" w:eastAsia="仿宋" w:cs="仿宋"/>
          <w:snapToGrid w:val="0"/>
          <w:color w:val="auto"/>
          <w:kern w:val="0"/>
          <w:sz w:val="24"/>
          <w:highlight w:val="none"/>
        </w:rPr>
        <w:t>本项目不接受联合体投标。</w:t>
      </w:r>
    </w:p>
    <w:p>
      <w:pPr>
        <w:spacing w:line="360" w:lineRule="auto"/>
        <w:ind w:firstLine="480" w:firstLineChars="200"/>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三、获取采购文件</w:t>
      </w:r>
      <w:bookmarkEnd w:id="15"/>
      <w:bookmarkEnd w:id="16"/>
      <w:bookmarkEnd w:id="17"/>
      <w:bookmarkEnd w:id="18"/>
    </w:p>
    <w:p>
      <w:pPr>
        <w:widowControl/>
        <w:spacing w:line="420" w:lineRule="exact"/>
        <w:ind w:firstLine="480" w:firstLineChars="200"/>
        <w:jc w:val="left"/>
        <w:textAlignment w:val="baseline"/>
        <w:rPr>
          <w:rFonts w:ascii="仿宋" w:hAnsi="仿宋" w:eastAsia="仿宋" w:cs="Times New Roman"/>
          <w:color w:val="auto"/>
          <w:kern w:val="0"/>
          <w:sz w:val="24"/>
          <w:szCs w:val="21"/>
          <w:highlight w:val="none"/>
        </w:rPr>
      </w:pPr>
      <w:r>
        <w:rPr>
          <w:rFonts w:hint="eastAsia" w:ascii="仿宋" w:hAnsi="仿宋" w:eastAsia="仿宋" w:cs="Times New Roman"/>
          <w:color w:val="auto"/>
          <w:sz w:val="24"/>
          <w:szCs w:val="21"/>
          <w:highlight w:val="none"/>
        </w:rPr>
        <w:t>1、</w:t>
      </w:r>
      <w:r>
        <w:rPr>
          <w:rFonts w:ascii="仿宋" w:hAnsi="仿宋" w:eastAsia="仿宋" w:cs="Times New Roman"/>
          <w:color w:val="auto"/>
          <w:kern w:val="0"/>
          <w:sz w:val="24"/>
          <w:szCs w:val="21"/>
          <w:highlight w:val="none"/>
        </w:rPr>
        <w:t>获取时间：</w:t>
      </w:r>
      <w:r>
        <w:rPr>
          <w:rFonts w:ascii="仿宋" w:hAnsi="仿宋" w:eastAsia="仿宋" w:cs="Times New Roman"/>
          <w:color w:val="auto"/>
          <w:kern w:val="0"/>
          <w:sz w:val="24"/>
          <w:szCs w:val="21"/>
          <w:highlight w:val="none"/>
          <w:u w:val="single"/>
        </w:rPr>
        <w:t>自</w:t>
      </w:r>
      <w:r>
        <w:rPr>
          <w:rFonts w:hint="eastAsia" w:ascii="仿宋" w:hAnsi="仿宋" w:eastAsia="仿宋" w:cs="Times New Roman"/>
          <w:color w:val="auto"/>
          <w:kern w:val="0"/>
          <w:sz w:val="24"/>
          <w:szCs w:val="21"/>
          <w:highlight w:val="none"/>
          <w:u w:val="single"/>
        </w:rPr>
        <w:t>本</w:t>
      </w:r>
      <w:r>
        <w:rPr>
          <w:rFonts w:ascii="仿宋" w:hAnsi="仿宋" w:eastAsia="仿宋" w:cs="Times New Roman"/>
          <w:color w:val="auto"/>
          <w:kern w:val="0"/>
          <w:sz w:val="24"/>
          <w:szCs w:val="21"/>
          <w:highlight w:val="none"/>
          <w:u w:val="single"/>
        </w:rPr>
        <w:t>招标公告发布之日起</w:t>
      </w:r>
      <w:r>
        <w:rPr>
          <w:rFonts w:ascii="仿宋" w:hAnsi="仿宋" w:eastAsia="仿宋" w:cs="Times New Roman"/>
          <w:color w:val="auto"/>
          <w:kern w:val="0"/>
          <w:sz w:val="24"/>
          <w:szCs w:val="21"/>
          <w:highlight w:val="none"/>
        </w:rPr>
        <w:t>。</w:t>
      </w:r>
    </w:p>
    <w:p>
      <w:pPr>
        <w:widowControl/>
        <w:spacing w:line="440" w:lineRule="exact"/>
        <w:ind w:firstLine="480" w:firstLineChars="200"/>
        <w:rPr>
          <w:rFonts w:ascii="仿宋" w:hAnsi="仿宋" w:eastAsia="仿宋" w:cs="Times New Roman"/>
          <w:color w:val="auto"/>
          <w:kern w:val="0"/>
          <w:sz w:val="24"/>
          <w:szCs w:val="21"/>
          <w:highlight w:val="none"/>
        </w:rPr>
      </w:pPr>
      <w:bookmarkStart w:id="19" w:name="_Toc387526369"/>
      <w:bookmarkStart w:id="20" w:name="_Toc387526277"/>
      <w:bookmarkStart w:id="21" w:name="_Toc387526173"/>
      <w:r>
        <w:rPr>
          <w:rFonts w:hint="eastAsia" w:ascii="仿宋" w:hAnsi="仿宋" w:eastAsia="仿宋" w:cs="Times New Roman"/>
          <w:color w:val="auto"/>
          <w:sz w:val="24"/>
          <w:szCs w:val="21"/>
          <w:highlight w:val="none"/>
        </w:rPr>
        <w:t>2、</w:t>
      </w:r>
      <w:r>
        <w:rPr>
          <w:rFonts w:ascii="仿宋" w:hAnsi="仿宋" w:eastAsia="仿宋" w:cs="Times New Roman"/>
          <w:color w:val="auto"/>
          <w:kern w:val="0"/>
          <w:sz w:val="24"/>
          <w:szCs w:val="21"/>
          <w:highlight w:val="none"/>
        </w:rPr>
        <w:t>获取方式：</w:t>
      </w:r>
      <w:r>
        <w:rPr>
          <w:rFonts w:ascii="仿宋" w:hAnsi="仿宋" w:eastAsia="仿宋" w:cs="Times New Roman"/>
          <w:color w:val="auto"/>
          <w:kern w:val="0"/>
          <w:sz w:val="24"/>
          <w:szCs w:val="21"/>
          <w:highlight w:val="none"/>
          <w:u w:val="single"/>
        </w:rPr>
        <w:t>本项目</w:t>
      </w:r>
      <w:r>
        <w:rPr>
          <w:rFonts w:ascii="仿宋" w:hAnsi="仿宋" w:eastAsia="仿宋" w:cs="Times New Roman"/>
          <w:color w:val="auto"/>
          <w:sz w:val="24"/>
          <w:szCs w:val="21"/>
          <w:highlight w:val="none"/>
          <w:u w:val="single"/>
        </w:rPr>
        <w:t>资格审查采用资格后审方式，</w:t>
      </w:r>
      <w:r>
        <w:rPr>
          <w:rFonts w:hint="eastAsia" w:ascii="仿宋" w:hAnsi="仿宋" w:eastAsia="仿宋" w:cs="Times New Roman"/>
          <w:color w:val="auto"/>
          <w:sz w:val="24"/>
          <w:szCs w:val="21"/>
          <w:highlight w:val="none"/>
          <w:u w:val="single"/>
        </w:rPr>
        <w:t>无报名环节，</w:t>
      </w:r>
      <w:r>
        <w:rPr>
          <w:rFonts w:ascii="仿宋" w:hAnsi="仿宋" w:eastAsia="仿宋" w:cs="Times New Roman"/>
          <w:color w:val="auto"/>
          <w:sz w:val="24"/>
          <w:szCs w:val="21"/>
          <w:highlight w:val="none"/>
          <w:u w:val="single"/>
        </w:rPr>
        <w:t>投标人直接</w:t>
      </w:r>
      <w:r>
        <w:rPr>
          <w:rFonts w:ascii="仿宋" w:hAnsi="仿宋" w:eastAsia="仿宋" w:cs="Times New Roman"/>
          <w:color w:val="auto"/>
          <w:kern w:val="0"/>
          <w:sz w:val="24"/>
          <w:szCs w:val="21"/>
          <w:highlight w:val="none"/>
          <w:u w:val="single"/>
        </w:rPr>
        <w:t>从</w:t>
      </w:r>
      <w:r>
        <w:rPr>
          <w:rFonts w:hint="eastAsia" w:ascii="仿宋" w:hAnsi="仿宋" w:eastAsia="仿宋" w:cs="Times New Roman"/>
          <w:color w:val="auto"/>
          <w:kern w:val="0"/>
          <w:sz w:val="24"/>
          <w:szCs w:val="21"/>
          <w:highlight w:val="none"/>
          <w:u w:val="single"/>
          <w:lang w:eastAsia="zh-CN"/>
        </w:rPr>
        <w:t>南通开发区教育网（http://www.ntkfqjy.com/）</w:t>
      </w:r>
      <w:r>
        <w:rPr>
          <w:rFonts w:ascii="仿宋" w:hAnsi="仿宋" w:eastAsia="仿宋" w:cs="Times New Roman"/>
          <w:color w:val="auto"/>
          <w:kern w:val="0"/>
          <w:sz w:val="24"/>
          <w:szCs w:val="21"/>
          <w:highlight w:val="none"/>
        </w:rPr>
        <w:t>自行下载招标文件、答疑等招标资料。</w:t>
      </w:r>
      <w:bookmarkEnd w:id="19"/>
      <w:bookmarkEnd w:id="20"/>
      <w:bookmarkEnd w:id="21"/>
    </w:p>
    <w:p>
      <w:pPr>
        <w:spacing w:line="360" w:lineRule="auto"/>
        <w:ind w:firstLine="540"/>
        <w:rPr>
          <w:rFonts w:ascii="仿宋" w:hAnsi="仿宋" w:eastAsia="仿宋" w:cs="宋体"/>
          <w:color w:val="auto"/>
          <w:sz w:val="24"/>
          <w:szCs w:val="24"/>
          <w:highlight w:val="none"/>
          <w:u w:val="single"/>
        </w:rPr>
      </w:pPr>
      <w:r>
        <w:rPr>
          <w:rFonts w:hint="eastAsia" w:ascii="仿宋" w:hAnsi="仿宋" w:eastAsia="仿宋" w:cs="宋体"/>
          <w:color w:val="auto"/>
          <w:sz w:val="24"/>
          <w:szCs w:val="24"/>
          <w:highlight w:val="none"/>
        </w:rPr>
        <w:t>3、方式：自行下载</w:t>
      </w:r>
    </w:p>
    <w:p>
      <w:pPr>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4、售价：300元/每位响应供应商</w:t>
      </w:r>
      <w:bookmarkStart w:id="22" w:name="_Toc35393632"/>
      <w:bookmarkStart w:id="23" w:name="_Toc28359015"/>
      <w:bookmarkStart w:id="24" w:name="_Toc35393801"/>
      <w:bookmarkStart w:id="25" w:name="_Toc28359092"/>
      <w:r>
        <w:rPr>
          <w:rFonts w:hint="eastAsia" w:ascii="仿宋" w:hAnsi="仿宋" w:eastAsia="仿宋" w:cs="宋体"/>
          <w:color w:val="auto"/>
          <w:sz w:val="24"/>
          <w:szCs w:val="24"/>
          <w:highlight w:val="none"/>
        </w:rPr>
        <w:t>（递交投标文件同时递交）</w:t>
      </w:r>
    </w:p>
    <w:p>
      <w:pPr>
        <w:spacing w:line="360" w:lineRule="auto"/>
        <w:ind w:firstLine="360" w:firstLineChars="150"/>
        <w:rPr>
          <w:rFonts w:ascii="仿宋" w:hAnsi="仿宋" w:eastAsia="仿宋" w:cs="宋体"/>
          <w:color w:val="auto"/>
          <w:sz w:val="24"/>
          <w:szCs w:val="24"/>
          <w:highlight w:val="none"/>
        </w:rPr>
      </w:pPr>
      <w:r>
        <w:rPr>
          <w:rFonts w:hint="eastAsia" w:ascii="仿宋" w:hAnsi="仿宋" w:eastAsia="仿宋" w:cs="宋体"/>
          <w:bCs/>
          <w:color w:val="auto"/>
          <w:sz w:val="24"/>
          <w:szCs w:val="24"/>
          <w:highlight w:val="none"/>
        </w:rPr>
        <w:t>四、响应文件提交</w:t>
      </w:r>
      <w:bookmarkEnd w:id="22"/>
      <w:bookmarkEnd w:id="23"/>
      <w:bookmarkEnd w:id="24"/>
      <w:bookmarkEnd w:id="25"/>
      <w:bookmarkStart w:id="26" w:name="_Toc28359016"/>
      <w:bookmarkStart w:id="27" w:name="_Toc28359093"/>
      <w:bookmarkStart w:id="28" w:name="_Toc35393633"/>
      <w:bookmarkStart w:id="29" w:name="_Toc35393802"/>
    </w:p>
    <w:bookmarkEnd w:id="26"/>
    <w:bookmarkEnd w:id="27"/>
    <w:bookmarkEnd w:id="28"/>
    <w:bookmarkEnd w:id="29"/>
    <w:p>
      <w:pPr>
        <w:spacing w:line="360" w:lineRule="auto"/>
        <w:ind w:firstLine="360" w:firstLineChars="150"/>
        <w:rPr>
          <w:rFonts w:ascii="仿宋" w:hAnsi="仿宋" w:eastAsia="仿宋" w:cs="宋体"/>
          <w:color w:val="auto"/>
          <w:sz w:val="24"/>
          <w:szCs w:val="24"/>
          <w:highlight w:val="none"/>
          <w:u w:val="single"/>
        </w:rPr>
      </w:pPr>
      <w:bookmarkStart w:id="30" w:name="_Toc28359094"/>
      <w:bookmarkStart w:id="31" w:name="_Toc28359017"/>
      <w:bookmarkStart w:id="32" w:name="_Toc35393634"/>
      <w:bookmarkStart w:id="33" w:name="_Toc35393803"/>
      <w:r>
        <w:rPr>
          <w:rFonts w:hint="eastAsia" w:ascii="仿宋" w:hAnsi="仿宋" w:eastAsia="仿宋" w:cs="宋体"/>
          <w:color w:val="auto"/>
          <w:sz w:val="24"/>
          <w:szCs w:val="24"/>
          <w:highlight w:val="none"/>
        </w:rPr>
        <w:t>1、截止时间：可在</w:t>
      </w:r>
      <w:r>
        <w:rPr>
          <w:rFonts w:hint="eastAsia" w:ascii="仿宋" w:hAnsi="仿宋" w:eastAsia="仿宋" w:cs="宋体"/>
          <w:color w:val="auto"/>
          <w:sz w:val="24"/>
          <w:szCs w:val="24"/>
          <w:highlight w:val="none"/>
          <w:u w:val="single"/>
        </w:rPr>
        <w:t>2021年</w:t>
      </w:r>
      <w:r>
        <w:rPr>
          <w:rFonts w:hint="eastAsia" w:ascii="仿宋" w:hAnsi="仿宋" w:eastAsia="仿宋" w:cs="宋体"/>
          <w:color w:val="auto"/>
          <w:sz w:val="24"/>
          <w:szCs w:val="24"/>
          <w:highlight w:val="none"/>
          <w:u w:val="single"/>
          <w:lang w:val="en-US" w:eastAsia="zh-CN"/>
        </w:rPr>
        <w:t>11月9</w:t>
      </w:r>
      <w:r>
        <w:rPr>
          <w:rFonts w:hint="eastAsia" w:ascii="仿宋" w:hAnsi="仿宋" w:eastAsia="仿宋" w:cs="宋体"/>
          <w:color w:val="auto"/>
          <w:sz w:val="24"/>
          <w:szCs w:val="24"/>
          <w:highlight w:val="none"/>
          <w:u w:val="single"/>
        </w:rPr>
        <w:t>日13点30分时</w:t>
      </w:r>
      <w:r>
        <w:rPr>
          <w:rFonts w:hint="eastAsia" w:ascii="仿宋" w:hAnsi="仿宋" w:eastAsia="仿宋" w:cs="宋体"/>
          <w:color w:val="auto"/>
          <w:sz w:val="24"/>
          <w:szCs w:val="24"/>
          <w:highlight w:val="none"/>
        </w:rPr>
        <w:t>（北京时间）</w:t>
      </w:r>
      <w:r>
        <w:rPr>
          <w:rFonts w:hint="eastAsia" w:ascii="仿宋" w:hAnsi="仿宋" w:eastAsia="仿宋" w:cs="宋体"/>
          <w:color w:val="auto"/>
          <w:sz w:val="24"/>
          <w:szCs w:val="24"/>
          <w:highlight w:val="none"/>
          <w:u w:val="single"/>
        </w:rPr>
        <w:t>开始递交投标文件，递交截止时间： 2021年</w:t>
      </w:r>
      <w:r>
        <w:rPr>
          <w:rFonts w:hint="eastAsia" w:ascii="仿宋" w:hAnsi="仿宋" w:eastAsia="仿宋" w:cs="宋体"/>
          <w:color w:val="auto"/>
          <w:sz w:val="24"/>
          <w:szCs w:val="24"/>
          <w:highlight w:val="none"/>
          <w:u w:val="single"/>
          <w:lang w:val="en-US" w:eastAsia="zh-CN"/>
        </w:rPr>
        <w:t>11</w:t>
      </w:r>
      <w:r>
        <w:rPr>
          <w:rFonts w:hint="eastAsia" w:ascii="仿宋" w:hAnsi="仿宋" w:eastAsia="仿宋" w:cs="宋体"/>
          <w:color w:val="auto"/>
          <w:sz w:val="24"/>
          <w:szCs w:val="24"/>
          <w:highlight w:val="none"/>
          <w:u w:val="single"/>
        </w:rPr>
        <w:t>月</w:t>
      </w:r>
      <w:r>
        <w:rPr>
          <w:rFonts w:hint="eastAsia" w:ascii="仿宋" w:hAnsi="仿宋" w:eastAsia="仿宋" w:cs="宋体"/>
          <w:color w:val="auto"/>
          <w:sz w:val="24"/>
          <w:szCs w:val="24"/>
          <w:highlight w:val="none"/>
          <w:u w:val="single"/>
          <w:lang w:val="en-US" w:eastAsia="zh-CN"/>
        </w:rPr>
        <w:t>9</w:t>
      </w:r>
      <w:r>
        <w:rPr>
          <w:rFonts w:hint="eastAsia" w:ascii="仿宋" w:hAnsi="仿宋" w:eastAsia="仿宋" w:cs="宋体"/>
          <w:color w:val="auto"/>
          <w:sz w:val="24"/>
          <w:szCs w:val="24"/>
          <w:highlight w:val="none"/>
          <w:u w:val="single"/>
        </w:rPr>
        <w:t>日 14点 00分</w:t>
      </w:r>
      <w:r>
        <w:rPr>
          <w:rFonts w:hint="eastAsia" w:ascii="仿宋" w:hAnsi="仿宋" w:eastAsia="仿宋" w:cs="宋体"/>
          <w:color w:val="auto"/>
          <w:sz w:val="24"/>
          <w:szCs w:val="24"/>
          <w:highlight w:val="none"/>
        </w:rPr>
        <w:t>（北京时间），</w:t>
      </w:r>
      <w:r>
        <w:rPr>
          <w:rFonts w:hint="eastAsia" w:ascii="仿宋" w:hAnsi="仿宋" w:eastAsia="仿宋" w:cs="Times New Roman"/>
          <w:color w:val="auto"/>
          <w:sz w:val="24"/>
          <w:szCs w:val="21"/>
          <w:highlight w:val="none"/>
        </w:rPr>
        <w:t>逾期送达将作无效响应处理。</w:t>
      </w:r>
    </w:p>
    <w:p>
      <w:pPr>
        <w:spacing w:line="360" w:lineRule="auto"/>
        <w:ind w:firstLine="480" w:firstLineChars="200"/>
        <w:rPr>
          <w:rFonts w:hint="eastAsia" w:ascii="仿宋" w:hAnsi="仿宋" w:eastAsia="仿宋" w:cs="宋体"/>
          <w:color w:val="auto"/>
          <w:kern w:val="0"/>
          <w:sz w:val="24"/>
          <w:szCs w:val="24"/>
          <w:highlight w:val="none"/>
          <w:u w:val="single"/>
          <w:lang w:eastAsia="zh-CN"/>
        </w:rPr>
      </w:pPr>
      <w:r>
        <w:rPr>
          <w:rFonts w:hint="eastAsia" w:ascii="仿宋" w:hAnsi="仿宋" w:eastAsia="仿宋" w:cs="宋体"/>
          <w:color w:val="auto"/>
          <w:sz w:val="24"/>
          <w:szCs w:val="24"/>
          <w:highlight w:val="none"/>
        </w:rPr>
        <w:t>2、开标地点：</w:t>
      </w:r>
      <w:r>
        <w:rPr>
          <w:rFonts w:hint="eastAsia" w:ascii="仿宋" w:hAnsi="仿宋" w:eastAsia="仿宋" w:cs="宋体"/>
          <w:color w:val="auto"/>
          <w:kern w:val="0"/>
          <w:sz w:val="24"/>
          <w:szCs w:val="24"/>
          <w:highlight w:val="none"/>
          <w:u w:val="single"/>
          <w:lang w:eastAsia="zh-CN"/>
        </w:rPr>
        <w:t>南通高等师范学校附属小学大中楼五楼会议室2</w:t>
      </w:r>
    </w:p>
    <w:p>
      <w:pPr>
        <w:spacing w:line="360" w:lineRule="auto"/>
        <w:ind w:firstLine="480" w:firstLineChars="200"/>
        <w:rPr>
          <w:rFonts w:ascii="仿宋" w:hAnsi="仿宋" w:eastAsia="仿宋" w:cs="Times New Roman"/>
          <w:bCs/>
          <w:color w:val="auto"/>
          <w:sz w:val="24"/>
          <w:szCs w:val="24"/>
          <w:highlight w:val="none"/>
          <w:u w:val="single"/>
        </w:rPr>
      </w:pPr>
      <w:r>
        <w:rPr>
          <w:rFonts w:hint="eastAsia" w:ascii="仿宋" w:hAnsi="仿宋" w:eastAsia="仿宋" w:cs="宋体"/>
          <w:bCs/>
          <w:color w:val="auto"/>
          <w:sz w:val="24"/>
          <w:szCs w:val="24"/>
          <w:highlight w:val="none"/>
        </w:rPr>
        <w:t>五、公告期限</w:t>
      </w:r>
      <w:bookmarkEnd w:id="30"/>
      <w:bookmarkEnd w:id="31"/>
      <w:bookmarkEnd w:id="32"/>
      <w:bookmarkEnd w:id="33"/>
    </w:p>
    <w:p>
      <w:pPr>
        <w:spacing w:line="360" w:lineRule="auto"/>
        <w:ind w:firstLine="480" w:firstLineChars="200"/>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自本公告发布之日起3个工作日。</w:t>
      </w:r>
      <w:bookmarkStart w:id="34" w:name="_Toc35393635"/>
      <w:bookmarkStart w:id="35" w:name="_Toc35393804"/>
    </w:p>
    <w:p>
      <w:pPr>
        <w:spacing w:line="360" w:lineRule="auto"/>
        <w:ind w:firstLine="480" w:firstLineChars="200"/>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六、其他补充事宜</w:t>
      </w:r>
      <w:bookmarkEnd w:id="34"/>
      <w:bookmarkEnd w:id="35"/>
      <w:bookmarkStart w:id="36" w:name="_Toc35393805"/>
      <w:bookmarkStart w:id="37" w:name="_Toc35393636"/>
      <w:bookmarkStart w:id="38" w:name="_Toc28359095"/>
      <w:bookmarkStart w:id="39" w:name="_Toc28359018"/>
    </w:p>
    <w:p>
      <w:pPr>
        <w:numPr>
          <w:ilvl w:val="0"/>
          <w:numId w:val="0"/>
        </w:numPr>
        <w:spacing w:line="360" w:lineRule="auto"/>
        <w:ind w:firstLine="482" w:firstLineChars="200"/>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kern w:val="2"/>
          <w:sz w:val="24"/>
          <w:szCs w:val="24"/>
          <w:highlight w:val="none"/>
          <w:lang w:val="en-US" w:eastAsia="zh-CN" w:bidi="ar-SA"/>
        </w:rPr>
        <w:t>1、根据疫情防控工作要求，请参加本项目招投标活动的人员，在进入开标现场时，务必携带有效身份证件，规范佩戴口罩，接受实名登记和体温检测，出具近14日健康码及行程轨迹，自觉服从和配合现场工作人员安排。如各省、市有最新防控要求的，按当地最新发布的防控要求执行。</w:t>
      </w:r>
    </w:p>
    <w:p>
      <w:pPr>
        <w:numPr>
          <w:ilvl w:val="0"/>
          <w:numId w:val="0"/>
        </w:numPr>
        <w:spacing w:line="360" w:lineRule="auto"/>
        <w:ind w:firstLine="482" w:firstLineChars="200"/>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kern w:val="2"/>
          <w:sz w:val="24"/>
          <w:szCs w:val="24"/>
          <w:highlight w:val="none"/>
          <w:lang w:val="en-US" w:eastAsia="zh-CN" w:bidi="ar-SA"/>
        </w:rPr>
        <w:t>2、各投标人关注微信公众号“江海南通”，及时查看已发布或最新发布的相关疫情防控要求，并按照最新发布的疫情防控要求执行，疫情防控咨询电话：0513-85590062。如因未达到当地疫情防控要求，而被限制进入开标场地的或被强制隔离等情况的，由当事人自行承担相关风险和责任。</w:t>
      </w:r>
    </w:p>
    <w:p>
      <w:pPr>
        <w:numPr>
          <w:ilvl w:val="0"/>
          <w:numId w:val="0"/>
        </w:numPr>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kern w:val="2"/>
          <w:sz w:val="24"/>
          <w:szCs w:val="24"/>
          <w:highlight w:val="none"/>
          <w:lang w:val="en-US" w:eastAsia="zh-CN" w:bidi="ar-SA"/>
        </w:rPr>
        <w:t> </w:t>
      </w:r>
    </w:p>
    <w:p>
      <w:pPr>
        <w:numPr>
          <w:ilvl w:val="0"/>
          <w:numId w:val="0"/>
        </w:numPr>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kern w:val="2"/>
          <w:sz w:val="24"/>
          <w:szCs w:val="24"/>
          <w:highlight w:val="none"/>
          <w:lang w:val="en-US" w:eastAsia="zh-CN" w:bidi="ar-SA"/>
        </w:rPr>
        <w:t>“江海南通”微信公众号</w:t>
      </w:r>
    </w:p>
    <w:p>
      <w:pPr>
        <w:numPr>
          <w:ilvl w:val="0"/>
          <w:numId w:val="0"/>
        </w:numPr>
        <w:rPr>
          <w:rFonts w:hint="eastAsia" w:ascii="仿宋" w:hAnsi="仿宋" w:eastAsia="仿宋" w:cs="宋体"/>
          <w:bCs/>
          <w:color w:val="auto"/>
          <w:sz w:val="24"/>
          <w:szCs w:val="24"/>
          <w:highlight w:val="none"/>
        </w:rPr>
      </w:pPr>
      <w:r>
        <w:rPr>
          <w:rFonts w:hint="eastAsia" w:eastAsia="宋体"/>
          <w:color w:val="auto"/>
          <w:highlight w:val="none"/>
          <w:lang w:eastAsia="zh-CN"/>
        </w:rPr>
        <w:drawing>
          <wp:inline distT="0" distB="0" distL="114300" distR="114300">
            <wp:extent cx="1291590" cy="1304925"/>
            <wp:effectExtent l="0" t="0" r="3810" b="9525"/>
            <wp:docPr id="3" name="图片 1" descr="1387913106318ae7e3f6f997769e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1387913106318ae7e3f6f997769e204"/>
                    <pic:cNvPicPr>
                      <a:picLocks noChangeAspect="1"/>
                    </pic:cNvPicPr>
                  </pic:nvPicPr>
                  <pic:blipFill>
                    <a:blip r:embed="rId12"/>
                    <a:stretch>
                      <a:fillRect/>
                    </a:stretch>
                  </pic:blipFill>
                  <pic:spPr>
                    <a:xfrm>
                      <a:off x="0" y="0"/>
                      <a:ext cx="1291590" cy="1304925"/>
                    </a:xfrm>
                    <a:prstGeom prst="rect">
                      <a:avLst/>
                    </a:prstGeom>
                    <a:noFill/>
                    <a:ln>
                      <a:noFill/>
                    </a:ln>
                  </pic:spPr>
                </pic:pic>
              </a:graphicData>
            </a:graphic>
          </wp:inline>
        </w:drawing>
      </w:r>
    </w:p>
    <w:p>
      <w:pPr>
        <w:spacing w:line="360" w:lineRule="auto"/>
        <w:ind w:firstLine="480" w:firstLineChars="200"/>
        <w:rPr>
          <w:rFonts w:ascii="仿宋" w:hAnsi="仿宋" w:eastAsia="仿宋" w:cs="宋体"/>
          <w:color w:val="auto"/>
          <w:kern w:val="0"/>
          <w:sz w:val="24"/>
          <w:szCs w:val="24"/>
          <w:highlight w:val="none"/>
        </w:rPr>
      </w:pPr>
      <w:r>
        <w:rPr>
          <w:rFonts w:hint="eastAsia" w:ascii="仿宋" w:hAnsi="仿宋" w:eastAsia="仿宋" w:cs="宋体"/>
          <w:bCs/>
          <w:color w:val="auto"/>
          <w:sz w:val="24"/>
          <w:szCs w:val="24"/>
          <w:highlight w:val="none"/>
        </w:rPr>
        <w:t>七、凡对本次采购提出询问，请按</w:t>
      </w:r>
      <w:r>
        <w:rPr>
          <w:rFonts w:ascii="仿宋" w:hAnsi="仿宋" w:eastAsia="仿宋" w:cs="宋体"/>
          <w:bCs/>
          <w:color w:val="auto"/>
          <w:sz w:val="24"/>
          <w:szCs w:val="24"/>
          <w:highlight w:val="none"/>
        </w:rPr>
        <w:t>以下方式</w:t>
      </w:r>
      <w:r>
        <w:rPr>
          <w:rFonts w:hint="eastAsia" w:ascii="仿宋" w:hAnsi="仿宋" w:eastAsia="仿宋" w:cs="宋体"/>
          <w:bCs/>
          <w:color w:val="auto"/>
          <w:sz w:val="24"/>
          <w:szCs w:val="24"/>
          <w:highlight w:val="none"/>
        </w:rPr>
        <w:t>联系。</w:t>
      </w:r>
      <w:bookmarkEnd w:id="36"/>
      <w:bookmarkEnd w:id="37"/>
      <w:bookmarkEnd w:id="38"/>
      <w:bookmarkEnd w:id="39"/>
    </w:p>
    <w:p>
      <w:pPr>
        <w:widowControl/>
        <w:shd w:val="clear" w:color="auto" w:fill="FFFFFF"/>
        <w:spacing w:line="360" w:lineRule="auto"/>
        <w:ind w:firstLine="720"/>
        <w:jc w:val="left"/>
        <w:outlineLvl w:val="1"/>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1.采购人信息</w:t>
      </w:r>
    </w:p>
    <w:p>
      <w:pPr>
        <w:widowControl/>
        <w:shd w:val="clear" w:color="auto" w:fill="FFFFFF"/>
        <w:spacing w:line="360" w:lineRule="auto"/>
        <w:ind w:left="479" w:leftChars="228" w:firstLine="139" w:firstLineChars="58"/>
        <w:jc w:val="left"/>
        <w:rPr>
          <w:rFonts w:hint="eastAsia" w:ascii="仿宋" w:hAnsi="仿宋" w:eastAsia="仿宋" w:cs="宋体"/>
          <w:color w:val="auto"/>
          <w:kern w:val="0"/>
          <w:sz w:val="24"/>
          <w:szCs w:val="24"/>
          <w:highlight w:val="none"/>
          <w:u w:val="single"/>
          <w:lang w:eastAsia="zh-CN"/>
        </w:rPr>
      </w:pPr>
      <w:r>
        <w:rPr>
          <w:rFonts w:hint="eastAsia" w:ascii="仿宋" w:hAnsi="仿宋" w:eastAsia="仿宋" w:cs="宋体"/>
          <w:color w:val="auto"/>
          <w:kern w:val="0"/>
          <w:sz w:val="24"/>
          <w:szCs w:val="24"/>
          <w:highlight w:val="none"/>
        </w:rPr>
        <w:t>名</w:t>
      </w:r>
      <w:r>
        <w:rPr>
          <w:rFonts w:hint="eastAsia" w:ascii="宋体" w:hAnsi="宋体" w:eastAsia="仿宋" w:cs="宋体"/>
          <w:color w:val="auto"/>
          <w:kern w:val="0"/>
          <w:sz w:val="24"/>
          <w:szCs w:val="24"/>
          <w:highlight w:val="none"/>
        </w:rPr>
        <w:t>   </w:t>
      </w:r>
      <w:r>
        <w:rPr>
          <w:rFonts w:hint="eastAsia" w:ascii="仿宋" w:hAnsi="仿宋" w:eastAsia="仿宋" w:cs="宋体"/>
          <w:color w:val="auto"/>
          <w:kern w:val="0"/>
          <w:sz w:val="24"/>
          <w:szCs w:val="24"/>
          <w:highlight w:val="none"/>
        </w:rPr>
        <w:t xml:space="preserve"> 称：</w:t>
      </w:r>
      <w:r>
        <w:rPr>
          <w:rFonts w:hint="eastAsia" w:ascii="仿宋" w:hAnsi="仿宋" w:eastAsia="仿宋" w:cs="宋体"/>
          <w:color w:val="auto"/>
          <w:kern w:val="0"/>
          <w:sz w:val="24"/>
          <w:szCs w:val="24"/>
          <w:highlight w:val="none"/>
          <w:u w:val="single"/>
          <w:lang w:eastAsia="zh-CN"/>
        </w:rPr>
        <w:t>南通高等师范学校附属小学</w:t>
      </w:r>
    </w:p>
    <w:p>
      <w:pPr>
        <w:widowControl/>
        <w:shd w:val="clear" w:color="auto" w:fill="FFFFFF"/>
        <w:spacing w:line="360" w:lineRule="auto"/>
        <w:ind w:left="479" w:leftChars="228" w:firstLine="139" w:firstLineChars="58"/>
        <w:jc w:val="left"/>
        <w:rPr>
          <w:rFonts w:ascii="仿宋" w:hAnsi="仿宋" w:eastAsia="仿宋" w:cs="宋体"/>
          <w:color w:val="auto"/>
          <w:kern w:val="0"/>
          <w:sz w:val="24"/>
          <w:szCs w:val="24"/>
          <w:highlight w:val="none"/>
          <w:u w:val="single"/>
        </w:rPr>
      </w:pPr>
      <w:r>
        <w:rPr>
          <w:rFonts w:hint="eastAsia" w:ascii="仿宋" w:hAnsi="仿宋" w:eastAsia="仿宋" w:cs="宋体"/>
          <w:color w:val="auto"/>
          <w:kern w:val="0"/>
          <w:sz w:val="24"/>
          <w:szCs w:val="24"/>
          <w:highlight w:val="none"/>
        </w:rPr>
        <w:t>地</w:t>
      </w:r>
      <w:r>
        <w:rPr>
          <w:rFonts w:hint="eastAsia" w:ascii="宋体" w:hAnsi="宋体" w:eastAsia="仿宋" w:cs="宋体"/>
          <w:color w:val="auto"/>
          <w:kern w:val="0"/>
          <w:sz w:val="24"/>
          <w:szCs w:val="24"/>
          <w:highlight w:val="none"/>
        </w:rPr>
        <w:t>   </w:t>
      </w:r>
      <w:r>
        <w:rPr>
          <w:rFonts w:hint="eastAsia" w:ascii="仿宋" w:hAnsi="仿宋" w:eastAsia="仿宋" w:cs="宋体"/>
          <w:color w:val="auto"/>
          <w:kern w:val="0"/>
          <w:sz w:val="24"/>
          <w:szCs w:val="24"/>
          <w:highlight w:val="none"/>
        </w:rPr>
        <w:t xml:space="preserve"> 址：</w:t>
      </w:r>
      <w:r>
        <w:rPr>
          <w:rFonts w:ascii="仿宋" w:hAnsi="仿宋" w:eastAsia="仿宋" w:cs="仿宋"/>
          <w:i w:val="0"/>
          <w:caps w:val="0"/>
          <w:color w:val="auto"/>
          <w:spacing w:val="0"/>
          <w:sz w:val="24"/>
          <w:szCs w:val="24"/>
          <w:highlight w:val="none"/>
          <w:u w:val="single"/>
        </w:rPr>
        <w:t>南通市经济技术开发区居康路</w:t>
      </w:r>
      <w:r>
        <w:rPr>
          <w:rFonts w:hint="eastAsia" w:ascii="仿宋" w:hAnsi="仿宋" w:eastAsia="仿宋" w:cs="仿宋"/>
          <w:i w:val="0"/>
          <w:caps w:val="0"/>
          <w:color w:val="auto"/>
          <w:spacing w:val="0"/>
          <w:sz w:val="24"/>
          <w:szCs w:val="24"/>
          <w:highlight w:val="none"/>
          <w:u w:val="single"/>
        </w:rPr>
        <w:t>1号</w:t>
      </w:r>
    </w:p>
    <w:p>
      <w:pPr>
        <w:widowControl/>
        <w:shd w:val="clear" w:color="auto" w:fill="FFFFFF"/>
        <w:spacing w:line="360" w:lineRule="auto"/>
        <w:ind w:left="479" w:leftChars="228" w:firstLine="139" w:firstLineChars="58"/>
        <w:jc w:val="left"/>
        <w:rPr>
          <w:rFonts w:ascii="仿宋" w:hAnsi="仿宋" w:eastAsia="仿宋" w:cs="宋体"/>
          <w:color w:val="auto"/>
          <w:kern w:val="0"/>
          <w:sz w:val="24"/>
          <w:szCs w:val="24"/>
          <w:highlight w:val="none"/>
          <w:u w:val="single"/>
        </w:rPr>
      </w:pPr>
      <w:r>
        <w:rPr>
          <w:rFonts w:hint="eastAsia" w:ascii="仿宋" w:hAnsi="仿宋" w:eastAsia="仿宋" w:cs="宋体"/>
          <w:color w:val="auto"/>
          <w:kern w:val="0"/>
          <w:sz w:val="24"/>
          <w:szCs w:val="24"/>
          <w:highlight w:val="none"/>
        </w:rPr>
        <w:t>联 系 方 式：</w:t>
      </w:r>
      <w:r>
        <w:rPr>
          <w:rFonts w:hint="eastAsia" w:ascii="仿宋" w:hAnsi="仿宋" w:eastAsia="仿宋" w:cs="宋体"/>
          <w:color w:val="auto"/>
          <w:kern w:val="0"/>
          <w:sz w:val="24"/>
          <w:szCs w:val="24"/>
          <w:highlight w:val="none"/>
          <w:u w:val="single"/>
        </w:rPr>
        <w:t>　</w:t>
      </w:r>
      <w:r>
        <w:rPr>
          <w:rFonts w:ascii="仿宋" w:hAnsi="仿宋" w:eastAsia="仿宋" w:cs="仿宋"/>
          <w:i w:val="0"/>
          <w:caps w:val="0"/>
          <w:color w:val="auto"/>
          <w:spacing w:val="0"/>
          <w:sz w:val="24"/>
          <w:szCs w:val="24"/>
          <w:highlight w:val="none"/>
          <w:u w:val="single"/>
        </w:rPr>
        <w:t>周老师</w:t>
      </w:r>
      <w:r>
        <w:rPr>
          <w:rFonts w:hint="eastAsia" w:ascii="仿宋" w:hAnsi="仿宋" w:eastAsia="仿宋" w:cs="仿宋"/>
          <w:i w:val="0"/>
          <w:caps w:val="0"/>
          <w:color w:val="auto"/>
          <w:spacing w:val="0"/>
          <w:sz w:val="24"/>
          <w:szCs w:val="24"/>
          <w:highlight w:val="none"/>
          <w:u w:val="single"/>
        </w:rPr>
        <w:t> 18068999019</w:t>
      </w:r>
      <w:r>
        <w:rPr>
          <w:rFonts w:hint="eastAsia" w:ascii="仿宋" w:hAnsi="仿宋" w:eastAsia="仿宋" w:cs="宋体"/>
          <w:color w:val="auto"/>
          <w:kern w:val="0"/>
          <w:sz w:val="24"/>
          <w:szCs w:val="24"/>
          <w:highlight w:val="none"/>
          <w:u w:val="single"/>
        </w:rPr>
        <w:t xml:space="preserve">  </w:t>
      </w:r>
    </w:p>
    <w:p>
      <w:pPr>
        <w:widowControl/>
        <w:shd w:val="clear" w:color="auto" w:fill="FFFFFF"/>
        <w:spacing w:line="360" w:lineRule="auto"/>
        <w:ind w:firstLine="720"/>
        <w:jc w:val="left"/>
        <w:outlineLvl w:val="1"/>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2.采购代理机构信息</w:t>
      </w:r>
    </w:p>
    <w:p>
      <w:pPr>
        <w:widowControl/>
        <w:shd w:val="clear" w:color="auto" w:fill="FFFFFF"/>
        <w:spacing w:line="360" w:lineRule="auto"/>
        <w:ind w:firstLine="720"/>
        <w:jc w:val="left"/>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名</w:t>
      </w:r>
      <w:r>
        <w:rPr>
          <w:rFonts w:hint="eastAsia" w:ascii="宋体" w:hAnsi="宋体" w:eastAsia="仿宋" w:cs="宋体"/>
          <w:color w:val="auto"/>
          <w:kern w:val="0"/>
          <w:sz w:val="24"/>
          <w:szCs w:val="24"/>
          <w:highlight w:val="none"/>
        </w:rPr>
        <w:t>   </w:t>
      </w:r>
      <w:r>
        <w:rPr>
          <w:rFonts w:hint="eastAsia" w:ascii="仿宋" w:hAnsi="仿宋" w:eastAsia="仿宋" w:cs="宋体"/>
          <w:color w:val="auto"/>
          <w:kern w:val="0"/>
          <w:sz w:val="24"/>
          <w:szCs w:val="24"/>
          <w:highlight w:val="none"/>
        </w:rPr>
        <w:t xml:space="preserve"> 称：</w:t>
      </w:r>
      <w:r>
        <w:rPr>
          <w:rFonts w:hint="eastAsia" w:ascii="仿宋" w:hAnsi="仿宋" w:eastAsia="仿宋" w:cs="宋体"/>
          <w:color w:val="auto"/>
          <w:kern w:val="0"/>
          <w:sz w:val="24"/>
          <w:szCs w:val="24"/>
          <w:highlight w:val="none"/>
          <w:u w:val="single"/>
        </w:rPr>
        <w:t>苏州新一造价师价格事务所有限公司</w:t>
      </w:r>
    </w:p>
    <w:p>
      <w:pPr>
        <w:widowControl/>
        <w:shd w:val="clear" w:color="auto" w:fill="FFFFFF"/>
        <w:spacing w:line="360" w:lineRule="auto"/>
        <w:ind w:firstLine="720"/>
        <w:jc w:val="left"/>
        <w:rPr>
          <w:rFonts w:ascii="仿宋" w:hAnsi="仿宋" w:eastAsia="仿宋" w:cs="宋体"/>
          <w:color w:val="auto"/>
          <w:kern w:val="0"/>
          <w:sz w:val="24"/>
          <w:szCs w:val="24"/>
          <w:highlight w:val="none"/>
          <w:u w:val="single"/>
        </w:rPr>
      </w:pPr>
      <w:r>
        <w:rPr>
          <w:rFonts w:hint="eastAsia" w:ascii="仿宋" w:hAnsi="仿宋" w:eastAsia="仿宋" w:cs="宋体"/>
          <w:color w:val="auto"/>
          <w:kern w:val="0"/>
          <w:sz w:val="24"/>
          <w:szCs w:val="24"/>
          <w:highlight w:val="none"/>
        </w:rPr>
        <w:t>地　　   址：</w:t>
      </w:r>
      <w:r>
        <w:rPr>
          <w:rFonts w:hint="eastAsia" w:ascii="仿宋" w:hAnsi="仿宋" w:eastAsia="仿宋" w:cs="宋体"/>
          <w:color w:val="auto"/>
          <w:kern w:val="0"/>
          <w:sz w:val="24"/>
          <w:szCs w:val="24"/>
          <w:highlight w:val="none"/>
          <w:u w:val="single"/>
          <w:lang w:eastAsia="zh-CN"/>
        </w:rPr>
        <w:t>南通市开发区长通路9号飞马国际中心A座1205室</w:t>
      </w:r>
    </w:p>
    <w:p>
      <w:pPr>
        <w:widowControl/>
        <w:shd w:val="clear" w:color="auto" w:fill="FFFFFF"/>
        <w:spacing w:line="360" w:lineRule="auto"/>
        <w:ind w:firstLine="720"/>
        <w:jc w:val="left"/>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联 系 方 式：</w:t>
      </w:r>
      <w:r>
        <w:rPr>
          <w:rFonts w:hint="eastAsia" w:ascii="仿宋" w:hAnsi="仿宋" w:eastAsia="仿宋" w:cs="宋体"/>
          <w:color w:val="auto"/>
          <w:kern w:val="0"/>
          <w:sz w:val="24"/>
          <w:szCs w:val="24"/>
          <w:highlight w:val="none"/>
          <w:u w:val="single"/>
        </w:rPr>
        <w:t>0513-69895656　</w:t>
      </w:r>
    </w:p>
    <w:p>
      <w:pPr>
        <w:widowControl/>
        <w:shd w:val="clear" w:color="auto" w:fill="FFFFFF"/>
        <w:spacing w:line="360" w:lineRule="auto"/>
        <w:ind w:firstLine="720"/>
        <w:jc w:val="left"/>
        <w:outlineLvl w:val="1"/>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3.项目联系方式</w:t>
      </w:r>
    </w:p>
    <w:p>
      <w:pPr>
        <w:widowControl/>
        <w:shd w:val="clear" w:color="auto" w:fill="FFFFFF"/>
        <w:spacing w:line="360" w:lineRule="auto"/>
        <w:ind w:firstLine="720"/>
        <w:jc w:val="left"/>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谈判文件制作人:陈蕾（0513-69895668）</w:t>
      </w:r>
    </w:p>
    <w:p>
      <w:pPr>
        <w:spacing w:line="360" w:lineRule="auto"/>
        <w:rPr>
          <w:rFonts w:ascii="仿宋" w:hAnsi="仿宋" w:eastAsia="仿宋" w:cs="Times New Roman"/>
          <w:b/>
          <w:bCs/>
          <w:color w:val="auto"/>
          <w:kern w:val="44"/>
          <w:sz w:val="24"/>
          <w:szCs w:val="24"/>
          <w:highlight w:val="none"/>
        </w:rPr>
      </w:pPr>
    </w:p>
    <w:p>
      <w:pPr>
        <w:rPr>
          <w:rFonts w:hint="eastAsia" w:ascii="仿宋" w:hAnsi="仿宋" w:eastAsia="仿宋" w:cs="Times New Roman"/>
          <w:b/>
          <w:color w:val="auto"/>
          <w:sz w:val="28"/>
          <w:szCs w:val="28"/>
          <w:highlight w:val="none"/>
        </w:rPr>
      </w:pPr>
      <w:r>
        <w:rPr>
          <w:rFonts w:hint="eastAsia" w:ascii="仿宋" w:hAnsi="仿宋" w:eastAsia="仿宋" w:cs="Times New Roman"/>
          <w:b/>
          <w:color w:val="auto"/>
          <w:sz w:val="28"/>
          <w:szCs w:val="28"/>
          <w:highlight w:val="none"/>
        </w:rPr>
        <w:br w:type="page"/>
      </w:r>
    </w:p>
    <w:p>
      <w:pPr>
        <w:jc w:val="center"/>
        <w:rPr>
          <w:rFonts w:ascii="仿宋" w:hAnsi="仿宋" w:eastAsia="仿宋" w:cs="Times New Roman"/>
          <w:b/>
          <w:color w:val="auto"/>
          <w:sz w:val="24"/>
          <w:szCs w:val="24"/>
          <w:highlight w:val="none"/>
        </w:rPr>
      </w:pPr>
      <w:r>
        <w:rPr>
          <w:rFonts w:hint="eastAsia" w:ascii="仿宋" w:hAnsi="仿宋" w:eastAsia="仿宋" w:cs="Times New Roman"/>
          <w:b/>
          <w:color w:val="auto"/>
          <w:sz w:val="28"/>
          <w:szCs w:val="28"/>
          <w:highlight w:val="none"/>
        </w:rPr>
        <w:t>二、谈判须知</w:t>
      </w:r>
    </w:p>
    <w:p>
      <w:pPr>
        <w:spacing w:line="560" w:lineRule="exact"/>
        <w:ind w:firstLine="480" w:firstLineChars="200"/>
        <w:jc w:val="center"/>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（参加竞争性谈判的供应商以下简称“谈判供应商”）</w:t>
      </w:r>
    </w:p>
    <w:bookmarkEnd w:id="4"/>
    <w:bookmarkEnd w:id="5"/>
    <w:bookmarkEnd w:id="6"/>
    <w:p>
      <w:pPr>
        <w:spacing w:line="500" w:lineRule="exact"/>
        <w:ind w:firstLine="482" w:firstLineChars="200"/>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一、总    则</w:t>
      </w:r>
    </w:p>
    <w:p>
      <w:pPr>
        <w:spacing w:line="50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1、适用范围</w:t>
      </w:r>
    </w:p>
    <w:p>
      <w:pPr>
        <w:spacing w:line="50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1.1 本竞争性谈判文件（以下简称谈判文件）仅适用此项目。</w:t>
      </w:r>
    </w:p>
    <w:p>
      <w:pPr>
        <w:spacing w:line="50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2、项目采购方式</w:t>
      </w:r>
    </w:p>
    <w:p>
      <w:pPr>
        <w:spacing w:line="50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2.1本次采购采取竞争性谈判的方式。</w:t>
      </w:r>
    </w:p>
    <w:p>
      <w:pPr>
        <w:spacing w:line="50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3、合格的谈判供应商</w:t>
      </w:r>
    </w:p>
    <w:p>
      <w:pPr>
        <w:tabs>
          <w:tab w:val="left" w:pos="900"/>
        </w:tabs>
        <w:spacing w:line="50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3.1满足本谈判文件“竞争性谈判公告”中合格谈判供应商资格要求的规定。</w:t>
      </w:r>
    </w:p>
    <w:p>
      <w:pPr>
        <w:tabs>
          <w:tab w:val="left" w:pos="900"/>
        </w:tabs>
        <w:spacing w:line="50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3.2 满足本谈判文件实质性要求和条件的规定。</w:t>
      </w:r>
    </w:p>
    <w:p>
      <w:pPr>
        <w:spacing w:line="50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4、参加谈判费用</w:t>
      </w:r>
    </w:p>
    <w:p>
      <w:pPr>
        <w:tabs>
          <w:tab w:val="left" w:pos="900"/>
        </w:tabs>
        <w:spacing w:line="50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4.1参加谈判供应商</w:t>
      </w:r>
      <w:r>
        <w:rPr>
          <w:rFonts w:ascii="仿宋" w:hAnsi="仿宋" w:eastAsia="仿宋" w:cs="Times New Roman"/>
          <w:color w:val="auto"/>
          <w:sz w:val="24"/>
          <w:szCs w:val="24"/>
          <w:highlight w:val="none"/>
        </w:rPr>
        <w:t>承担其编制</w:t>
      </w:r>
      <w:r>
        <w:rPr>
          <w:rFonts w:hint="eastAsia" w:ascii="仿宋" w:hAnsi="仿宋" w:eastAsia="仿宋" w:cs="Times New Roman"/>
          <w:color w:val="auto"/>
          <w:sz w:val="24"/>
          <w:szCs w:val="24"/>
          <w:highlight w:val="none"/>
        </w:rPr>
        <w:t>响应</w:t>
      </w:r>
      <w:r>
        <w:rPr>
          <w:rFonts w:ascii="仿宋" w:hAnsi="仿宋" w:eastAsia="仿宋" w:cs="Times New Roman"/>
          <w:color w:val="auto"/>
          <w:sz w:val="24"/>
          <w:szCs w:val="24"/>
          <w:highlight w:val="none"/>
        </w:rPr>
        <w:t>文件以及递交</w:t>
      </w:r>
      <w:r>
        <w:rPr>
          <w:rFonts w:hint="eastAsia" w:ascii="仿宋" w:hAnsi="仿宋" w:eastAsia="仿宋" w:cs="Times New Roman"/>
          <w:color w:val="auto"/>
          <w:sz w:val="24"/>
          <w:szCs w:val="24"/>
          <w:highlight w:val="none"/>
        </w:rPr>
        <w:t>响应</w:t>
      </w:r>
      <w:r>
        <w:rPr>
          <w:rFonts w:ascii="仿宋" w:hAnsi="仿宋" w:eastAsia="仿宋" w:cs="Times New Roman"/>
          <w:color w:val="auto"/>
          <w:sz w:val="24"/>
          <w:szCs w:val="24"/>
          <w:highlight w:val="none"/>
        </w:rPr>
        <w:t>文件所涉及的一切费用，</w:t>
      </w:r>
      <w:r>
        <w:rPr>
          <w:rFonts w:hint="eastAsia" w:ascii="仿宋" w:hAnsi="仿宋" w:eastAsia="仿宋" w:cs="Times New Roman"/>
          <w:b/>
          <w:color w:val="auto"/>
          <w:sz w:val="24"/>
          <w:szCs w:val="24"/>
          <w:highlight w:val="none"/>
        </w:rPr>
        <w:t>投标</w:t>
      </w:r>
      <w:r>
        <w:rPr>
          <w:rFonts w:ascii="仿宋" w:hAnsi="仿宋" w:eastAsia="仿宋" w:cs="Times New Roman"/>
          <w:b/>
          <w:color w:val="auto"/>
          <w:sz w:val="24"/>
          <w:szCs w:val="24"/>
          <w:highlight w:val="none"/>
        </w:rPr>
        <w:t>文件每套售价300元</w:t>
      </w:r>
      <w:r>
        <w:rPr>
          <w:rFonts w:ascii="仿宋" w:hAnsi="仿宋" w:eastAsia="仿宋" w:cs="Times New Roman"/>
          <w:color w:val="auto"/>
          <w:sz w:val="24"/>
          <w:szCs w:val="24"/>
          <w:highlight w:val="none"/>
        </w:rPr>
        <w:t>，</w:t>
      </w:r>
      <w:r>
        <w:rPr>
          <w:rFonts w:hint="eastAsia" w:ascii="仿宋" w:hAnsi="仿宋" w:eastAsia="仿宋"/>
          <w:b/>
          <w:color w:val="auto"/>
          <w:sz w:val="23"/>
          <w:szCs w:val="23"/>
          <w:highlight w:val="none"/>
        </w:rPr>
        <w:t>递交投标文件时同时递交</w:t>
      </w:r>
      <w:r>
        <w:rPr>
          <w:rFonts w:ascii="仿宋" w:hAnsi="仿宋" w:eastAsia="仿宋"/>
          <w:b/>
          <w:bCs/>
          <w:color w:val="auto"/>
          <w:sz w:val="24"/>
          <w:szCs w:val="24"/>
          <w:highlight w:val="none"/>
        </w:rPr>
        <w:t>，否则视为放弃投标权利处理</w:t>
      </w:r>
      <w:r>
        <w:rPr>
          <w:rFonts w:ascii="仿宋" w:hAnsi="仿宋" w:eastAsia="仿宋" w:cs="Times New Roman"/>
          <w:color w:val="auto"/>
          <w:sz w:val="24"/>
          <w:szCs w:val="24"/>
          <w:highlight w:val="none"/>
        </w:rPr>
        <w:t>。无论投标结果如何，</w:t>
      </w:r>
      <w:r>
        <w:rPr>
          <w:rFonts w:hint="eastAsia" w:ascii="仿宋" w:hAnsi="仿宋" w:eastAsia="仿宋" w:cs="Times New Roman"/>
          <w:color w:val="auto"/>
          <w:sz w:val="24"/>
          <w:szCs w:val="24"/>
          <w:highlight w:val="none"/>
        </w:rPr>
        <w:t>采购人对上述费用不负任何责任</w:t>
      </w:r>
      <w:r>
        <w:rPr>
          <w:rFonts w:ascii="仿宋" w:hAnsi="仿宋" w:eastAsia="仿宋" w:cs="Times New Roman"/>
          <w:color w:val="auto"/>
          <w:sz w:val="24"/>
          <w:szCs w:val="24"/>
          <w:highlight w:val="none"/>
        </w:rPr>
        <w:t>。</w:t>
      </w:r>
    </w:p>
    <w:p>
      <w:pPr>
        <w:tabs>
          <w:tab w:val="left" w:pos="900"/>
        </w:tabs>
        <w:spacing w:line="50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5、谈判文件的约束力</w:t>
      </w:r>
    </w:p>
    <w:p>
      <w:pPr>
        <w:tabs>
          <w:tab w:val="left" w:pos="900"/>
        </w:tabs>
        <w:spacing w:line="50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5.1供应商一旦下载了本谈判文件并决定参加谈判，即被认为接受了本谈判文件的规定和约束，并且视为自竞争性谈判公告期限届满之日起知道或应当知道自身权益是否受到了损害。</w:t>
      </w:r>
    </w:p>
    <w:p>
      <w:pPr>
        <w:tabs>
          <w:tab w:val="left" w:pos="900"/>
        </w:tabs>
        <w:spacing w:line="50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6、</w:t>
      </w:r>
      <w:bookmarkStart w:id="40" w:name="_Toc462564070"/>
      <w:bookmarkStart w:id="41" w:name="_Toc16938527"/>
      <w:bookmarkStart w:id="42" w:name="_Toc513029211"/>
      <w:bookmarkStart w:id="43" w:name="_Toc20823283"/>
      <w:r>
        <w:rPr>
          <w:rFonts w:hint="eastAsia" w:ascii="仿宋" w:hAnsi="仿宋" w:eastAsia="仿宋" w:cs="Times New Roman"/>
          <w:color w:val="auto"/>
          <w:sz w:val="24"/>
          <w:szCs w:val="24"/>
          <w:highlight w:val="none"/>
        </w:rPr>
        <w:t>谈判文件的</w:t>
      </w:r>
      <w:bookmarkEnd w:id="40"/>
      <w:bookmarkEnd w:id="41"/>
      <w:bookmarkEnd w:id="42"/>
      <w:bookmarkEnd w:id="43"/>
      <w:r>
        <w:rPr>
          <w:rFonts w:hint="eastAsia" w:ascii="仿宋" w:hAnsi="仿宋" w:eastAsia="仿宋" w:cs="Times New Roman"/>
          <w:color w:val="auto"/>
          <w:sz w:val="24"/>
          <w:szCs w:val="24"/>
          <w:highlight w:val="none"/>
        </w:rPr>
        <w:t>询问及修改</w:t>
      </w:r>
    </w:p>
    <w:p>
      <w:pPr>
        <w:tabs>
          <w:tab w:val="left" w:pos="900"/>
        </w:tabs>
        <w:spacing w:line="50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6.1任何要求对谈判文件进行询问的供应商，</w:t>
      </w:r>
      <w:r>
        <w:rPr>
          <w:rStyle w:val="50"/>
          <w:rFonts w:ascii="仿宋" w:hAnsi="仿宋" w:eastAsia="仿宋"/>
          <w:color w:val="auto"/>
          <w:sz w:val="24"/>
          <w:szCs w:val="24"/>
          <w:highlight w:val="none"/>
          <w:u w:val="none"/>
        </w:rPr>
        <w:t>均应在</w:t>
      </w:r>
      <w:r>
        <w:rPr>
          <w:rStyle w:val="50"/>
          <w:rFonts w:hint="eastAsia" w:ascii="仿宋" w:hAnsi="仿宋" w:eastAsia="仿宋"/>
          <w:color w:val="auto"/>
          <w:sz w:val="24"/>
          <w:szCs w:val="24"/>
          <w:highlight w:val="none"/>
          <w:u w:val="none"/>
        </w:rPr>
        <w:t>本</w:t>
      </w:r>
      <w:r>
        <w:rPr>
          <w:rStyle w:val="50"/>
          <w:rFonts w:hint="eastAsia" w:ascii="仿宋" w:hAnsi="仿宋" w:eastAsia="仿宋"/>
          <w:color w:val="auto"/>
          <w:sz w:val="24"/>
          <w:szCs w:val="24"/>
          <w:highlight w:val="none"/>
          <w:u w:val="none"/>
          <w:lang w:eastAsia="zh-CN"/>
        </w:rPr>
        <w:t>谈判</w:t>
      </w:r>
      <w:r>
        <w:rPr>
          <w:rStyle w:val="50"/>
          <w:rFonts w:ascii="仿宋" w:hAnsi="仿宋" w:eastAsia="仿宋"/>
          <w:color w:val="auto"/>
          <w:sz w:val="24"/>
          <w:szCs w:val="24"/>
          <w:highlight w:val="none"/>
          <w:u w:val="none"/>
        </w:rPr>
        <w:t>文件公告期限届满之日</w:t>
      </w:r>
      <w:r>
        <w:rPr>
          <w:rStyle w:val="50"/>
          <w:rFonts w:hint="eastAsia" w:ascii="仿宋" w:hAnsi="仿宋" w:eastAsia="仿宋"/>
          <w:color w:val="auto"/>
          <w:sz w:val="24"/>
          <w:szCs w:val="24"/>
          <w:highlight w:val="none"/>
          <w:u w:val="none"/>
          <w:lang w:eastAsia="zh-CN"/>
        </w:rPr>
        <w:t>内</w:t>
      </w:r>
      <w:r>
        <w:rPr>
          <w:rFonts w:hint="eastAsia" w:ascii="仿宋" w:hAnsi="仿宋" w:eastAsia="仿宋" w:cs="Times New Roman"/>
          <w:b/>
          <w:bCs/>
          <w:color w:val="auto"/>
          <w:sz w:val="24"/>
          <w:szCs w:val="24"/>
          <w:highlight w:val="none"/>
        </w:rPr>
        <w:t>以电子文件形式（不具单位名称）发送至ntxyjhy@163.com 邮箱</w:t>
      </w:r>
      <w:r>
        <w:rPr>
          <w:rFonts w:hint="eastAsia" w:ascii="仿宋" w:hAnsi="仿宋" w:eastAsia="仿宋" w:cs="Times New Roman"/>
          <w:color w:val="auto"/>
          <w:sz w:val="24"/>
          <w:szCs w:val="24"/>
          <w:highlight w:val="none"/>
        </w:rPr>
        <w:t>，向代理机构或采购人提出。提交首次响应文件截止之日前，代理机构可以对已发出的谈判文件进行必要的澄清或者修改，澄清或者修改的内容作为谈判文件的组成部分。澄清或者修改的内容可能影响响应文件编制的，代理机构将在提交首次响应文件截止时间至少</w:t>
      </w:r>
      <w:r>
        <w:rPr>
          <w:rFonts w:hint="eastAsia" w:ascii="仿宋" w:hAnsi="仿宋" w:eastAsia="仿宋" w:cs="Times New Roman"/>
          <w:color w:val="auto"/>
          <w:sz w:val="24"/>
          <w:szCs w:val="24"/>
          <w:highlight w:val="none"/>
          <w:lang w:val="en-US" w:eastAsia="zh-CN"/>
        </w:rPr>
        <w:t>2</w:t>
      </w:r>
      <w:r>
        <w:rPr>
          <w:rFonts w:hint="eastAsia" w:ascii="仿宋" w:hAnsi="仿宋" w:eastAsia="仿宋" w:cs="Times New Roman"/>
          <w:color w:val="auto"/>
          <w:sz w:val="24"/>
          <w:szCs w:val="24"/>
          <w:highlight w:val="none"/>
        </w:rPr>
        <w:t>个工作日前，在</w:t>
      </w:r>
      <w:r>
        <w:rPr>
          <w:rFonts w:hint="eastAsia" w:ascii="仿宋" w:hAnsi="仿宋" w:eastAsia="仿宋" w:cs="Times New Roman"/>
          <w:color w:val="auto"/>
          <w:sz w:val="24"/>
          <w:szCs w:val="24"/>
          <w:highlight w:val="none"/>
          <w:lang w:eastAsia="zh-CN"/>
        </w:rPr>
        <w:t>南通开发区教育网</w:t>
      </w:r>
      <w:r>
        <w:rPr>
          <w:rFonts w:hint="eastAsia" w:ascii="仿宋" w:hAnsi="仿宋" w:eastAsia="仿宋" w:cs="Times New Roman"/>
          <w:color w:val="auto"/>
          <w:sz w:val="24"/>
          <w:szCs w:val="24"/>
          <w:highlight w:val="none"/>
        </w:rPr>
        <w:t>发布书面更正公告形式通知所有获取谈判文件的供应商。不足</w:t>
      </w:r>
      <w:r>
        <w:rPr>
          <w:rFonts w:hint="eastAsia" w:ascii="仿宋" w:hAnsi="仿宋" w:eastAsia="仿宋" w:cs="Times New Roman"/>
          <w:color w:val="auto"/>
          <w:sz w:val="24"/>
          <w:szCs w:val="24"/>
          <w:highlight w:val="none"/>
          <w:lang w:val="en-US" w:eastAsia="zh-CN"/>
        </w:rPr>
        <w:t>2个</w:t>
      </w:r>
      <w:r>
        <w:rPr>
          <w:rFonts w:hint="eastAsia" w:ascii="仿宋" w:hAnsi="仿宋" w:eastAsia="仿宋" w:cs="Times New Roman"/>
          <w:color w:val="auto"/>
          <w:sz w:val="24"/>
          <w:szCs w:val="24"/>
          <w:highlight w:val="none"/>
        </w:rPr>
        <w:t>工作日的，代理机构应当顺延提交首次响应文件截止时间。</w:t>
      </w:r>
    </w:p>
    <w:p>
      <w:pPr>
        <w:tabs>
          <w:tab w:val="left" w:pos="900"/>
        </w:tabs>
        <w:spacing w:line="50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7、谈判文件的解释</w:t>
      </w:r>
    </w:p>
    <w:p>
      <w:pPr>
        <w:spacing w:line="500" w:lineRule="exact"/>
        <w:ind w:firstLine="480" w:firstLineChars="200"/>
        <w:rPr>
          <w:rFonts w:ascii="仿宋" w:hAnsi="仿宋" w:eastAsia="仿宋" w:cs="Times New Roman"/>
          <w:bCs/>
          <w:color w:val="auto"/>
          <w:sz w:val="24"/>
          <w:szCs w:val="24"/>
          <w:highlight w:val="none"/>
        </w:rPr>
      </w:pPr>
      <w:r>
        <w:rPr>
          <w:rFonts w:hint="eastAsia" w:ascii="仿宋" w:hAnsi="仿宋" w:eastAsia="仿宋" w:cs="Times New Roman"/>
          <w:bCs/>
          <w:color w:val="auto"/>
          <w:sz w:val="24"/>
          <w:szCs w:val="24"/>
          <w:highlight w:val="none"/>
        </w:rPr>
        <w:t>7.1 本谈判文件由代理机构负责解释。</w:t>
      </w:r>
    </w:p>
    <w:p>
      <w:pPr>
        <w:spacing w:line="500" w:lineRule="exact"/>
        <w:ind w:firstLine="482" w:firstLineChars="200"/>
        <w:rPr>
          <w:rFonts w:ascii="仿宋" w:hAnsi="仿宋" w:eastAsia="仿宋" w:cs="Times New Roman"/>
          <w:b/>
          <w:color w:val="auto"/>
          <w:sz w:val="24"/>
          <w:szCs w:val="24"/>
          <w:highlight w:val="none"/>
        </w:rPr>
      </w:pPr>
      <w:bookmarkStart w:id="44" w:name="_Hlt26670348"/>
      <w:bookmarkEnd w:id="44"/>
      <w:bookmarkStart w:id="45" w:name="_Hlt26954828"/>
      <w:bookmarkEnd w:id="45"/>
      <w:bookmarkStart w:id="46" w:name="_Hlt26668969"/>
      <w:bookmarkEnd w:id="46"/>
      <w:bookmarkStart w:id="47" w:name="_Hlt26954830"/>
      <w:bookmarkEnd w:id="47"/>
      <w:bookmarkStart w:id="48" w:name="_Hlt26670345"/>
      <w:bookmarkEnd w:id="48"/>
      <w:bookmarkStart w:id="49" w:name="_Hlt26670354"/>
      <w:bookmarkEnd w:id="49"/>
      <w:bookmarkStart w:id="50" w:name="_Hlt26954832"/>
      <w:bookmarkEnd w:id="50"/>
      <w:bookmarkStart w:id="51" w:name="_Toc61149553"/>
      <w:bookmarkStart w:id="52" w:name="_Toc513029213"/>
      <w:bookmarkStart w:id="53" w:name="_Toc462564072"/>
      <w:bookmarkStart w:id="54" w:name="_Toc14577351"/>
      <w:r>
        <w:rPr>
          <w:rFonts w:hint="eastAsia" w:ascii="仿宋" w:hAnsi="仿宋" w:eastAsia="仿宋" w:cs="Times New Roman"/>
          <w:b/>
          <w:color w:val="auto"/>
          <w:sz w:val="24"/>
          <w:szCs w:val="24"/>
          <w:highlight w:val="none"/>
        </w:rPr>
        <w:t>二 、谈判响应文件的编制</w:t>
      </w:r>
      <w:bookmarkEnd w:id="51"/>
      <w:bookmarkEnd w:id="52"/>
      <w:bookmarkEnd w:id="53"/>
      <w:bookmarkEnd w:id="54"/>
    </w:p>
    <w:p>
      <w:pPr>
        <w:spacing w:line="480" w:lineRule="exact"/>
        <w:ind w:firstLine="480" w:firstLineChars="200"/>
        <w:rPr>
          <w:rFonts w:ascii="仿宋" w:hAnsi="仿宋" w:eastAsia="仿宋" w:cs="宋体"/>
          <w:color w:val="auto"/>
          <w:sz w:val="24"/>
          <w:szCs w:val="24"/>
          <w:highlight w:val="none"/>
        </w:rPr>
      </w:pPr>
      <w:bookmarkStart w:id="55" w:name="_Toc61149561"/>
      <w:bookmarkStart w:id="56" w:name="_Toc513029223"/>
      <w:bookmarkStart w:id="57" w:name="_Toc14577361"/>
      <w:r>
        <w:rPr>
          <w:rFonts w:hint="eastAsia" w:ascii="仿宋" w:hAnsi="仿宋" w:eastAsia="仿宋" w:cs="宋体"/>
          <w:color w:val="auto"/>
          <w:sz w:val="24"/>
          <w:szCs w:val="24"/>
          <w:highlight w:val="none"/>
        </w:rPr>
        <w:t>1、谈判响应文件</w:t>
      </w:r>
      <w:bookmarkEnd w:id="55"/>
      <w:bookmarkEnd w:id="56"/>
      <w:bookmarkEnd w:id="57"/>
      <w:r>
        <w:rPr>
          <w:rFonts w:hint="eastAsia" w:ascii="仿宋" w:hAnsi="仿宋" w:eastAsia="仿宋" w:cs="宋体"/>
          <w:color w:val="auto"/>
          <w:sz w:val="24"/>
          <w:szCs w:val="24"/>
          <w:highlight w:val="none"/>
        </w:rPr>
        <w:t>的编制</w:t>
      </w:r>
    </w:p>
    <w:p>
      <w:pPr>
        <w:spacing w:line="48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1.1投标文件应按 “投标文件格式”进行编写，如有必要可自行增加，作为投标文件的组成部分。</w:t>
      </w:r>
    </w:p>
    <w:p>
      <w:pPr>
        <w:spacing w:line="48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1.2谈判供应商提交的响应文件以及谈判供应商与代理机构及采购人就有关谈判的所有来往函电均应使用</w:t>
      </w:r>
      <w:r>
        <w:rPr>
          <w:rFonts w:hint="eastAsia" w:ascii="仿宋" w:hAnsi="仿宋" w:eastAsia="仿宋" w:cs="宋体"/>
          <w:bCs/>
          <w:color w:val="auto"/>
          <w:sz w:val="24"/>
          <w:szCs w:val="24"/>
          <w:highlight w:val="none"/>
        </w:rPr>
        <w:t>简体中文</w:t>
      </w:r>
      <w:r>
        <w:rPr>
          <w:rFonts w:hint="eastAsia" w:ascii="仿宋" w:hAnsi="仿宋" w:eastAsia="仿宋" w:cs="宋体"/>
          <w:color w:val="auto"/>
          <w:sz w:val="24"/>
          <w:szCs w:val="24"/>
          <w:highlight w:val="none"/>
        </w:rPr>
        <w:t>。谈判文件中既有中文也有外文的，以中文意义为准。</w:t>
      </w:r>
    </w:p>
    <w:p>
      <w:pPr>
        <w:spacing w:line="48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1.4除技术性能另有规定外，响应文件所使用的度量衡单位，均须采用国家法定计量单位。</w:t>
      </w:r>
    </w:p>
    <w:p>
      <w:pPr>
        <w:spacing w:line="48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 xml:space="preserve">2、 谈判响应文件的内容： </w:t>
      </w:r>
    </w:p>
    <w:p>
      <w:pPr>
        <w:tabs>
          <w:tab w:val="left" w:pos="720"/>
        </w:tabs>
        <w:spacing w:line="480" w:lineRule="exact"/>
        <w:ind w:firstLine="482" w:firstLineChars="200"/>
        <w:rPr>
          <w:rFonts w:ascii="仿宋" w:hAnsi="仿宋" w:eastAsia="仿宋" w:cs="宋体"/>
          <w:b/>
          <w:color w:val="auto"/>
          <w:sz w:val="24"/>
          <w:szCs w:val="24"/>
          <w:highlight w:val="none"/>
        </w:rPr>
      </w:pPr>
      <w:r>
        <w:rPr>
          <w:rFonts w:hint="eastAsia" w:ascii="仿宋" w:hAnsi="仿宋" w:eastAsia="仿宋" w:cs="宋体"/>
          <w:b/>
          <w:color w:val="auto"/>
          <w:sz w:val="24"/>
          <w:szCs w:val="24"/>
          <w:highlight w:val="none"/>
        </w:rPr>
        <w:t>A、资格后审资料文件（须加盖公章）</w:t>
      </w:r>
    </w:p>
    <w:p>
      <w:pPr>
        <w:widowControl/>
        <w:shd w:val="clear" w:color="auto" w:fill="FFFFFF"/>
        <w:spacing w:line="360" w:lineRule="auto"/>
        <w:ind w:firstLine="480"/>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1、</w:t>
      </w:r>
      <w:r>
        <w:rPr>
          <w:rFonts w:hint="eastAsia" w:ascii="仿宋" w:hAnsi="仿宋" w:eastAsia="仿宋" w:cs="Arial"/>
          <w:color w:val="auto"/>
          <w:kern w:val="0"/>
          <w:sz w:val="24"/>
          <w:szCs w:val="24"/>
          <w:highlight w:val="none"/>
        </w:rPr>
        <w:t>提供有效营业执照（副本）（提供原件复印件）；</w:t>
      </w:r>
    </w:p>
    <w:p>
      <w:pPr>
        <w:widowControl/>
        <w:shd w:val="clear" w:color="auto" w:fill="FFFFFF"/>
        <w:spacing w:line="360" w:lineRule="auto"/>
        <w:ind w:firstLine="345" w:firstLineChars="150"/>
        <w:jc w:val="left"/>
        <w:rPr>
          <w:rFonts w:ascii="仿宋" w:hAnsi="仿宋" w:eastAsia="仿宋" w:cs="宋体"/>
          <w:color w:val="auto"/>
          <w:sz w:val="24"/>
          <w:szCs w:val="24"/>
          <w:highlight w:val="none"/>
        </w:rPr>
      </w:pPr>
      <w:r>
        <w:rPr>
          <w:rFonts w:hint="eastAsia" w:ascii="仿宋" w:hAnsi="仿宋" w:eastAsia="仿宋" w:cs="Arial"/>
          <w:color w:val="auto"/>
          <w:kern w:val="0"/>
          <w:sz w:val="23"/>
          <w:szCs w:val="23"/>
          <w:highlight w:val="none"/>
        </w:rPr>
        <w:t>2.具有良好的商业信誉和健全的财务会计制度</w:t>
      </w:r>
      <w:r>
        <w:rPr>
          <w:rFonts w:hint="eastAsia" w:ascii="仿宋" w:hAnsi="仿宋" w:eastAsia="仿宋" w:cs="宋体"/>
          <w:color w:val="auto"/>
          <w:sz w:val="24"/>
          <w:szCs w:val="24"/>
          <w:highlight w:val="none"/>
        </w:rPr>
        <w:t>【提供上一年度的财务状况报告（成立不满一年不需提供）】；</w:t>
      </w:r>
    </w:p>
    <w:p>
      <w:pPr>
        <w:snapToGrid w:val="0"/>
        <w:spacing w:line="360" w:lineRule="auto"/>
        <w:ind w:firstLine="460" w:firstLineChars="200"/>
        <w:rPr>
          <w:rFonts w:ascii="仿宋" w:hAnsi="仿宋" w:eastAsia="仿宋" w:cs="Arial"/>
          <w:color w:val="auto"/>
          <w:sz w:val="23"/>
          <w:szCs w:val="23"/>
          <w:highlight w:val="none"/>
        </w:rPr>
      </w:pPr>
      <w:r>
        <w:rPr>
          <w:rFonts w:hint="eastAsia" w:ascii="仿宋" w:hAnsi="仿宋" w:eastAsia="仿宋" w:cs="Arial"/>
          <w:color w:val="auto"/>
          <w:sz w:val="23"/>
          <w:szCs w:val="23"/>
          <w:highlight w:val="none"/>
        </w:rPr>
        <w:t>3.具有履行合同所必需的设备和专业技术能力</w:t>
      </w:r>
      <w:r>
        <w:rPr>
          <w:rFonts w:ascii="仿宋" w:hAnsi="仿宋" w:eastAsia="仿宋" w:cs="Times New Roman"/>
          <w:color w:val="auto"/>
          <w:highlight w:val="none"/>
        </w:rPr>
        <w:t>（</w:t>
      </w:r>
      <w:r>
        <w:rPr>
          <w:rFonts w:ascii="仿宋" w:hAnsi="仿宋" w:eastAsia="仿宋" w:cs="Arial"/>
          <w:color w:val="auto"/>
          <w:sz w:val="23"/>
          <w:szCs w:val="23"/>
          <w:highlight w:val="none"/>
        </w:rPr>
        <w:t>提供承诺函</w:t>
      </w:r>
      <w:r>
        <w:rPr>
          <w:rFonts w:hint="eastAsia" w:ascii="仿宋" w:hAnsi="仿宋" w:eastAsia="仿宋" w:cs="Arial"/>
          <w:color w:val="auto"/>
          <w:sz w:val="23"/>
          <w:szCs w:val="23"/>
          <w:highlight w:val="none"/>
        </w:rPr>
        <w:t>，</w:t>
      </w:r>
      <w:r>
        <w:rPr>
          <w:rFonts w:ascii="仿宋" w:hAnsi="仿宋" w:eastAsia="仿宋" w:cs="Arial"/>
          <w:color w:val="auto"/>
          <w:sz w:val="23"/>
          <w:szCs w:val="23"/>
          <w:highlight w:val="none"/>
        </w:rPr>
        <w:t>按第</w:t>
      </w:r>
      <w:r>
        <w:rPr>
          <w:rFonts w:hint="eastAsia" w:ascii="仿宋" w:hAnsi="仿宋" w:eastAsia="仿宋" w:cs="Arial"/>
          <w:color w:val="auto"/>
          <w:sz w:val="23"/>
          <w:szCs w:val="23"/>
          <w:highlight w:val="none"/>
        </w:rPr>
        <w:t>五</w:t>
      </w:r>
      <w:r>
        <w:rPr>
          <w:rFonts w:ascii="仿宋" w:hAnsi="仿宋" w:eastAsia="仿宋" w:cs="Arial"/>
          <w:color w:val="auto"/>
          <w:sz w:val="23"/>
          <w:szCs w:val="23"/>
          <w:highlight w:val="none"/>
        </w:rPr>
        <w:t>章后附格）</w:t>
      </w:r>
      <w:r>
        <w:rPr>
          <w:rFonts w:hint="eastAsia" w:ascii="仿宋" w:hAnsi="仿宋" w:eastAsia="仿宋" w:cs="Arial"/>
          <w:color w:val="auto"/>
          <w:sz w:val="23"/>
          <w:szCs w:val="23"/>
          <w:highlight w:val="none"/>
        </w:rPr>
        <w:t>；</w:t>
      </w:r>
    </w:p>
    <w:p>
      <w:pPr>
        <w:snapToGrid w:val="0"/>
        <w:spacing w:line="360" w:lineRule="auto"/>
        <w:ind w:firstLine="460" w:firstLineChars="200"/>
        <w:rPr>
          <w:rFonts w:ascii="仿宋" w:hAnsi="仿宋" w:eastAsia="仿宋" w:cs="Arial"/>
          <w:color w:val="auto"/>
          <w:sz w:val="23"/>
          <w:szCs w:val="23"/>
          <w:highlight w:val="none"/>
        </w:rPr>
      </w:pPr>
      <w:r>
        <w:rPr>
          <w:rFonts w:hint="eastAsia" w:ascii="仿宋" w:hAnsi="仿宋" w:eastAsia="仿宋" w:cs="Arial"/>
          <w:color w:val="auto"/>
          <w:sz w:val="23"/>
          <w:szCs w:val="23"/>
          <w:highlight w:val="none"/>
        </w:rPr>
        <w:t>4.具有依法缴纳税收和社会保障资金的良好记录（</w:t>
      </w:r>
      <w:r>
        <w:rPr>
          <w:rFonts w:hint="eastAsia" w:ascii="仿宋" w:hAnsi="仿宋" w:eastAsia="仿宋" w:cs="Arial"/>
          <w:color w:val="auto"/>
          <w:sz w:val="23"/>
          <w:szCs w:val="23"/>
          <w:highlight w:val="none"/>
          <w:lang w:eastAsia="zh-CN"/>
        </w:rPr>
        <w:t>提供自本公告发布日前6个月内任意1个月的依法缴纳税收和社会保障资金的相关材料</w:t>
      </w:r>
      <w:r>
        <w:rPr>
          <w:rFonts w:hint="eastAsia" w:ascii="仿宋" w:hAnsi="仿宋" w:eastAsia="仿宋" w:cs="Arial"/>
          <w:color w:val="auto"/>
          <w:sz w:val="23"/>
          <w:szCs w:val="23"/>
          <w:highlight w:val="none"/>
        </w:rPr>
        <w:t>）；</w:t>
      </w:r>
    </w:p>
    <w:p>
      <w:pPr>
        <w:widowControl/>
        <w:shd w:val="clear" w:color="auto" w:fill="FFFFFF"/>
        <w:spacing w:line="360" w:lineRule="auto"/>
        <w:ind w:firstLine="480"/>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5、</w:t>
      </w:r>
      <w:r>
        <w:rPr>
          <w:rFonts w:hint="eastAsia" w:ascii="仿宋" w:hAnsi="仿宋" w:eastAsia="仿宋" w:cs="宋体"/>
          <w:color w:val="auto"/>
          <w:kern w:val="0"/>
          <w:sz w:val="24"/>
          <w:szCs w:val="24"/>
          <w:highlight w:val="none"/>
        </w:rPr>
        <w:t>法定代表人参加投标的，必须提供法人身份证明原件及本人身份证复印件；非法定代表人参加的，必须提供法定代表人签名或盖章的授权委托书原件及被委托授权人身份证复印件的这两项（须加盖公章）；</w:t>
      </w:r>
    </w:p>
    <w:p>
      <w:pPr>
        <w:pStyle w:val="2"/>
        <w:spacing w:line="360" w:lineRule="auto"/>
        <w:ind w:firstLine="480" w:firstLineChars="200"/>
        <w:rPr>
          <w:color w:val="auto"/>
          <w:highlight w:val="none"/>
        </w:rPr>
      </w:pPr>
      <w:r>
        <w:rPr>
          <w:rFonts w:hint="eastAsia" w:ascii="仿宋" w:hAnsi="仿宋" w:eastAsia="仿宋" w:cs="Arial"/>
          <w:color w:val="auto"/>
          <w:kern w:val="0"/>
          <w:sz w:val="24"/>
          <w:szCs w:val="24"/>
          <w:highlight w:val="none"/>
        </w:rPr>
        <w:t>6、响应供应商未被“信用中国”网站（www.creditchina.gov.cn）、</w:t>
      </w:r>
      <w:r>
        <w:rPr>
          <w:rFonts w:hint="eastAsia" w:ascii="仿宋" w:hAnsi="仿宋" w:eastAsia="仿宋" w:cs="Arial"/>
          <w:color w:val="auto"/>
          <w:kern w:val="0"/>
          <w:sz w:val="24"/>
          <w:szCs w:val="24"/>
          <w:highlight w:val="none"/>
          <w:lang w:eastAsia="zh-CN"/>
        </w:rPr>
        <w:t>中国政府采购网</w:t>
      </w:r>
      <w:r>
        <w:rPr>
          <w:rFonts w:hint="eastAsia" w:ascii="仿宋" w:hAnsi="仿宋" w:eastAsia="仿宋" w:cs="Arial"/>
          <w:color w:val="auto"/>
          <w:kern w:val="0"/>
          <w:sz w:val="24"/>
          <w:szCs w:val="24"/>
          <w:highlight w:val="none"/>
        </w:rPr>
        <w:t>（www.ccgp.gov.cn）列入失信被执行人、重大税收违法案件当事人名单、政府采购严重失信行为记录名单；为确保政府采购守法供应商公平参加政府采购活动，采购代理机构将在开标开始后一个小时内，通过信用中国网站对供应商信用信息进行查询查证，并将查询记录截屏打印保存在采购档案内。若被查实为失信单位的，资格审查不予通过。</w:t>
      </w:r>
    </w:p>
    <w:p>
      <w:pPr>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Arial"/>
          <w:color w:val="auto"/>
          <w:kern w:val="0"/>
          <w:sz w:val="24"/>
          <w:szCs w:val="24"/>
          <w:highlight w:val="none"/>
        </w:rPr>
        <w:t>7、</w:t>
      </w:r>
      <w:r>
        <w:rPr>
          <w:rFonts w:hint="eastAsia" w:ascii="仿宋" w:hAnsi="仿宋" w:eastAsia="仿宋" w:cs="宋体"/>
          <w:color w:val="auto"/>
          <w:sz w:val="24"/>
          <w:szCs w:val="24"/>
          <w:highlight w:val="none"/>
        </w:rPr>
        <w:t>关于资格文件的声明函（格式按第五章）</w:t>
      </w:r>
    </w:p>
    <w:p>
      <w:pPr>
        <w:adjustRightInd w:val="0"/>
        <w:spacing w:line="360" w:lineRule="auto"/>
        <w:ind w:firstLine="480" w:firstLineChars="200"/>
        <w:rPr>
          <w:rFonts w:ascii="仿宋" w:hAnsi="仿宋" w:eastAsia="仿宋" w:cs="仿宋"/>
          <w:b/>
          <w:color w:val="auto"/>
          <w:kern w:val="0"/>
          <w:sz w:val="24"/>
          <w:highlight w:val="none"/>
          <w:u w:val="single"/>
        </w:rPr>
      </w:pPr>
      <w:r>
        <w:rPr>
          <w:rFonts w:hint="eastAsia" w:ascii="仿宋" w:hAnsi="仿宋" w:eastAsia="仿宋" w:cs="仿宋"/>
          <w:snapToGrid w:val="0"/>
          <w:color w:val="auto"/>
          <w:kern w:val="0"/>
          <w:sz w:val="24"/>
          <w:highlight w:val="none"/>
        </w:rPr>
        <w:t>8、企业资质条件：</w:t>
      </w:r>
      <w:r>
        <w:rPr>
          <w:rFonts w:hint="eastAsia" w:ascii="仿宋" w:hAnsi="仿宋" w:eastAsia="仿宋" w:cs="仿宋"/>
          <w:color w:val="auto"/>
          <w:sz w:val="24"/>
          <w:highlight w:val="none"/>
        </w:rPr>
        <w:t>具有独立法人资格和</w:t>
      </w:r>
      <w:r>
        <w:rPr>
          <w:rFonts w:hint="eastAsia" w:ascii="仿宋" w:hAnsi="仿宋" w:eastAsia="仿宋" w:cs="仿宋"/>
          <w:b/>
          <w:color w:val="auto"/>
          <w:sz w:val="24"/>
          <w:highlight w:val="none"/>
          <w:u w:val="single"/>
        </w:rPr>
        <w:t>建筑工程施工总承包三级及以上资质，</w:t>
      </w:r>
      <w:r>
        <w:rPr>
          <w:rFonts w:hint="eastAsia" w:ascii="仿宋" w:hAnsi="仿宋" w:eastAsia="仿宋" w:cs="仿宋"/>
          <w:color w:val="auto"/>
          <w:sz w:val="24"/>
          <w:highlight w:val="none"/>
        </w:rPr>
        <w:t>并在人员、设备、资金等方面具有相应的施工能力。</w:t>
      </w:r>
    </w:p>
    <w:p>
      <w:pPr>
        <w:pStyle w:val="2"/>
        <w:spacing w:line="360" w:lineRule="auto"/>
        <w:ind w:firstLine="480" w:firstLineChars="200"/>
        <w:rPr>
          <w:color w:val="auto"/>
          <w:highlight w:val="none"/>
        </w:rPr>
      </w:pPr>
      <w:r>
        <w:rPr>
          <w:rFonts w:hint="eastAsia" w:ascii="仿宋" w:hAnsi="仿宋" w:eastAsia="仿宋" w:cs="仿宋"/>
          <w:snapToGrid w:val="0"/>
          <w:color w:val="auto"/>
          <w:kern w:val="0"/>
          <w:sz w:val="24"/>
          <w:highlight w:val="none"/>
          <w:lang w:val="en-US" w:eastAsia="zh-CN"/>
        </w:rPr>
        <w:t>9</w:t>
      </w:r>
      <w:r>
        <w:rPr>
          <w:rFonts w:hint="eastAsia" w:ascii="仿宋" w:hAnsi="仿宋" w:eastAsia="仿宋" w:cs="仿宋"/>
          <w:snapToGrid w:val="0"/>
          <w:color w:val="auto"/>
          <w:kern w:val="0"/>
          <w:sz w:val="24"/>
          <w:highlight w:val="none"/>
        </w:rPr>
        <w:t>、拟派项目负责人及授权委托人为投标企业正式人员证明材料复印件（必须提供：①投标企业与项目负责人、授权委托人双方签订的有效劳动合同书；②社保机构出具的由企业为拟派项目负责人、授权委托人缴纳的202</w:t>
      </w:r>
      <w:r>
        <w:rPr>
          <w:rFonts w:hint="eastAsia" w:ascii="仿宋" w:hAnsi="仿宋" w:eastAsia="仿宋" w:cs="仿宋"/>
          <w:snapToGrid w:val="0"/>
          <w:color w:val="auto"/>
          <w:kern w:val="0"/>
          <w:sz w:val="24"/>
          <w:highlight w:val="none"/>
          <w:lang w:val="en-US" w:eastAsia="zh-CN"/>
        </w:rPr>
        <w:t>1</w:t>
      </w:r>
      <w:r>
        <w:rPr>
          <w:rFonts w:hint="eastAsia" w:ascii="仿宋" w:hAnsi="仿宋" w:eastAsia="仿宋" w:cs="仿宋"/>
          <w:snapToGrid w:val="0"/>
          <w:color w:val="auto"/>
          <w:kern w:val="0"/>
          <w:sz w:val="24"/>
          <w:highlight w:val="none"/>
        </w:rPr>
        <w:t>年</w:t>
      </w:r>
      <w:r>
        <w:rPr>
          <w:rFonts w:hint="eastAsia" w:ascii="仿宋" w:hAnsi="仿宋" w:eastAsia="仿宋" w:cs="仿宋"/>
          <w:snapToGrid w:val="0"/>
          <w:color w:val="auto"/>
          <w:kern w:val="0"/>
          <w:sz w:val="24"/>
          <w:highlight w:val="none"/>
          <w:lang w:val="en-US" w:eastAsia="zh-CN"/>
        </w:rPr>
        <w:t>7</w:t>
      </w:r>
      <w:r>
        <w:rPr>
          <w:rFonts w:hint="eastAsia" w:ascii="仿宋" w:hAnsi="仿宋" w:eastAsia="仿宋" w:cs="仿宋"/>
          <w:snapToGrid w:val="0"/>
          <w:color w:val="auto"/>
          <w:kern w:val="0"/>
          <w:sz w:val="24"/>
          <w:highlight w:val="none"/>
        </w:rPr>
        <w:t>月至2021年</w:t>
      </w:r>
      <w:r>
        <w:rPr>
          <w:rFonts w:hint="eastAsia" w:ascii="仿宋" w:hAnsi="仿宋" w:eastAsia="仿宋" w:cs="仿宋"/>
          <w:snapToGrid w:val="0"/>
          <w:color w:val="auto"/>
          <w:kern w:val="0"/>
          <w:sz w:val="24"/>
          <w:highlight w:val="none"/>
          <w:lang w:val="en-US" w:eastAsia="zh-CN"/>
        </w:rPr>
        <w:t>9</w:t>
      </w:r>
      <w:r>
        <w:rPr>
          <w:rFonts w:hint="eastAsia" w:ascii="仿宋" w:hAnsi="仿宋" w:eastAsia="仿宋" w:cs="仿宋"/>
          <w:snapToGrid w:val="0"/>
          <w:color w:val="auto"/>
          <w:kern w:val="0"/>
          <w:sz w:val="24"/>
          <w:highlight w:val="none"/>
        </w:rPr>
        <w:t>月连续</w:t>
      </w:r>
      <w:r>
        <w:rPr>
          <w:rFonts w:hint="eastAsia" w:ascii="仿宋" w:hAnsi="仿宋" w:eastAsia="仿宋" w:cs="仿宋"/>
          <w:snapToGrid w:val="0"/>
          <w:color w:val="auto"/>
          <w:kern w:val="0"/>
          <w:sz w:val="24"/>
          <w:highlight w:val="none"/>
          <w:lang w:val="en-US" w:eastAsia="zh-CN"/>
        </w:rPr>
        <w:t>3</w:t>
      </w:r>
      <w:r>
        <w:rPr>
          <w:rFonts w:hint="eastAsia" w:ascii="仿宋" w:hAnsi="仿宋" w:eastAsia="仿宋" w:cs="仿宋"/>
          <w:snapToGrid w:val="0"/>
          <w:color w:val="auto"/>
          <w:kern w:val="0"/>
          <w:sz w:val="24"/>
          <w:highlight w:val="none"/>
        </w:rPr>
        <w:t>个月的养老保险缴费清单）；</w:t>
      </w:r>
    </w:p>
    <w:p>
      <w:pPr>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w:t>
      </w:r>
      <w:r>
        <w:rPr>
          <w:rFonts w:hint="eastAsia" w:ascii="仿宋" w:hAnsi="仿宋" w:eastAsia="仿宋" w:cs="宋体"/>
          <w:color w:val="auto"/>
          <w:sz w:val="24"/>
          <w:szCs w:val="24"/>
          <w:highlight w:val="none"/>
          <w:lang w:val="en-US" w:eastAsia="zh-CN"/>
        </w:rPr>
        <w:t>0</w:t>
      </w:r>
      <w:r>
        <w:rPr>
          <w:rFonts w:hint="eastAsia" w:ascii="仿宋" w:hAnsi="仿宋" w:eastAsia="仿宋" w:cs="宋体"/>
          <w:color w:val="auto"/>
          <w:sz w:val="24"/>
          <w:szCs w:val="24"/>
          <w:highlight w:val="none"/>
        </w:rPr>
        <w:t>、谈判文件要求的其他资料。</w:t>
      </w:r>
    </w:p>
    <w:p>
      <w:pPr>
        <w:spacing w:line="360" w:lineRule="auto"/>
        <w:ind w:firstLine="482" w:firstLineChars="200"/>
        <w:rPr>
          <w:rFonts w:ascii="仿宋" w:hAnsi="仿宋" w:eastAsia="仿宋" w:cs="宋体"/>
          <w:b/>
          <w:color w:val="auto"/>
          <w:sz w:val="24"/>
          <w:szCs w:val="24"/>
          <w:highlight w:val="none"/>
        </w:rPr>
      </w:pPr>
      <w:r>
        <w:rPr>
          <w:rFonts w:hint="eastAsia" w:ascii="仿宋" w:hAnsi="仿宋" w:eastAsia="仿宋" w:cs="宋体"/>
          <w:b/>
          <w:color w:val="auto"/>
          <w:sz w:val="24"/>
          <w:szCs w:val="24"/>
          <w:highlight w:val="none"/>
        </w:rPr>
        <w:t>注明：以上需要提供相关证明及证件的原件带至开标现场备查。未提供响应者经评标委员会核实后资格审查不予通过。</w:t>
      </w:r>
    </w:p>
    <w:p>
      <w:pPr>
        <w:widowControl/>
        <w:shd w:val="clear" w:color="auto" w:fill="FFFFFF"/>
        <w:spacing w:line="360" w:lineRule="auto"/>
        <w:ind w:firstLine="482" w:firstLineChars="200"/>
        <w:rPr>
          <w:rFonts w:ascii="仿宋" w:hAnsi="仿宋" w:eastAsia="仿宋" w:cs="宋体"/>
          <w:b/>
          <w:color w:val="auto"/>
          <w:sz w:val="24"/>
          <w:szCs w:val="24"/>
          <w:highlight w:val="none"/>
        </w:rPr>
      </w:pPr>
      <w:r>
        <w:rPr>
          <w:rFonts w:hint="eastAsia" w:ascii="仿宋" w:hAnsi="仿宋" w:eastAsia="仿宋" w:cs="宋体"/>
          <w:b/>
          <w:color w:val="auto"/>
          <w:sz w:val="24"/>
          <w:szCs w:val="24"/>
          <w:highlight w:val="none"/>
        </w:rPr>
        <w:t>B</w:t>
      </w:r>
      <w:r>
        <w:rPr>
          <w:rFonts w:ascii="仿宋" w:hAnsi="仿宋" w:eastAsia="仿宋" w:cs="宋体"/>
          <w:b/>
          <w:color w:val="auto"/>
          <w:sz w:val="24"/>
          <w:szCs w:val="24"/>
          <w:highlight w:val="none"/>
        </w:rPr>
        <w:t>、</w:t>
      </w:r>
      <w:r>
        <w:rPr>
          <w:rFonts w:hint="eastAsia" w:ascii="仿宋" w:hAnsi="仿宋" w:eastAsia="仿宋" w:cs="宋体"/>
          <w:b/>
          <w:color w:val="auto"/>
          <w:sz w:val="24"/>
          <w:szCs w:val="24"/>
          <w:highlight w:val="none"/>
        </w:rPr>
        <w:t>报价标（须加盖公章）</w:t>
      </w:r>
    </w:p>
    <w:p>
      <w:pPr>
        <w:spacing w:line="460" w:lineRule="exact"/>
        <w:ind w:firstLine="470" w:firstLineChars="196"/>
        <w:rPr>
          <w:rFonts w:ascii="仿宋" w:hAnsi="仿宋" w:eastAsia="仿宋" w:cs="宋体"/>
          <w:color w:val="auto"/>
          <w:sz w:val="24"/>
          <w:szCs w:val="24"/>
          <w:highlight w:val="none"/>
        </w:rPr>
      </w:pPr>
      <w:bookmarkStart w:id="58" w:name="_Hlt26670357"/>
      <w:bookmarkEnd w:id="58"/>
      <w:bookmarkStart w:id="59" w:name="_Hlt26954836"/>
      <w:bookmarkEnd w:id="59"/>
      <w:r>
        <w:rPr>
          <w:rFonts w:hint="eastAsia" w:ascii="仿宋" w:hAnsi="仿宋" w:eastAsia="仿宋" w:cs="宋体"/>
          <w:color w:val="auto"/>
          <w:sz w:val="24"/>
          <w:szCs w:val="24"/>
          <w:highlight w:val="none"/>
        </w:rPr>
        <w:t>（1）封面；</w:t>
      </w:r>
    </w:p>
    <w:p>
      <w:pPr>
        <w:spacing w:line="440" w:lineRule="exact"/>
        <w:ind w:left="426"/>
        <w:rPr>
          <w:rFonts w:ascii="仿宋" w:hAnsi="仿宋" w:eastAsia="仿宋" w:cs="宋体"/>
          <w:bCs/>
          <w:color w:val="auto"/>
          <w:sz w:val="24"/>
          <w:szCs w:val="24"/>
          <w:highlight w:val="none"/>
        </w:rPr>
      </w:pPr>
      <w:r>
        <w:rPr>
          <w:rFonts w:hint="eastAsia" w:ascii="仿宋" w:hAnsi="仿宋" w:eastAsia="仿宋" w:cs="Times New Roman"/>
          <w:color w:val="auto"/>
          <w:sz w:val="24"/>
          <w:szCs w:val="24"/>
          <w:highlight w:val="none"/>
        </w:rPr>
        <w:t>（2）</w:t>
      </w:r>
      <w:r>
        <w:rPr>
          <w:rFonts w:hint="eastAsia" w:ascii="仿宋" w:hAnsi="仿宋" w:eastAsia="仿宋" w:cs="宋体"/>
          <w:bCs/>
          <w:color w:val="auto"/>
          <w:sz w:val="24"/>
          <w:szCs w:val="24"/>
          <w:highlight w:val="none"/>
        </w:rPr>
        <w:t>谈判响应报价（首次）总表</w:t>
      </w:r>
    </w:p>
    <w:p>
      <w:pPr>
        <w:snapToGrid w:val="0"/>
        <w:spacing w:line="440" w:lineRule="exact"/>
        <w:ind w:firstLine="360" w:firstLineChars="150"/>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（3）谈判响应报价明细表</w:t>
      </w:r>
    </w:p>
    <w:p>
      <w:pPr>
        <w:spacing w:line="440" w:lineRule="exact"/>
        <w:ind w:left="426"/>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（4）谈判响应报价表（最终）</w:t>
      </w:r>
    </w:p>
    <w:p>
      <w:pPr>
        <w:spacing w:line="480" w:lineRule="exact"/>
        <w:ind w:firstLine="352" w:firstLineChars="147"/>
        <w:rPr>
          <w:rFonts w:ascii="仿宋" w:hAnsi="仿宋" w:eastAsia="仿宋" w:cs="宋体"/>
          <w:b/>
          <w:color w:val="auto"/>
          <w:sz w:val="24"/>
          <w:szCs w:val="24"/>
          <w:highlight w:val="none"/>
        </w:rPr>
      </w:pPr>
      <w:r>
        <w:rPr>
          <w:rFonts w:hint="eastAsia" w:ascii="仿宋" w:hAnsi="仿宋" w:eastAsia="仿宋" w:cs="宋体"/>
          <w:color w:val="auto"/>
          <w:sz w:val="24"/>
          <w:szCs w:val="24"/>
          <w:highlight w:val="none"/>
        </w:rPr>
        <w:t>3、投标时</w:t>
      </w:r>
      <w:r>
        <w:rPr>
          <w:rFonts w:hint="eastAsia" w:ascii="仿宋" w:hAnsi="仿宋" w:eastAsia="仿宋" w:cs="宋体"/>
          <w:b/>
          <w:color w:val="auto"/>
          <w:sz w:val="24"/>
          <w:szCs w:val="24"/>
          <w:highlight w:val="none"/>
        </w:rPr>
        <w:t>需提供的响应文件</w:t>
      </w:r>
    </w:p>
    <w:p>
      <w:pPr>
        <w:spacing w:line="480" w:lineRule="exact"/>
        <w:ind w:firstLine="600" w:firstLineChars="25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纸质响应文件</w:t>
      </w:r>
    </w:p>
    <w:p>
      <w:pPr>
        <w:spacing w:line="480" w:lineRule="exact"/>
        <w:ind w:firstLine="720" w:firstLineChars="300"/>
        <w:rPr>
          <w:rFonts w:ascii="仿宋" w:hAnsi="仿宋" w:eastAsia="仿宋" w:cs="宋体"/>
          <w:color w:val="auto"/>
          <w:sz w:val="24"/>
          <w:szCs w:val="24"/>
          <w:highlight w:val="none"/>
        </w:rPr>
      </w:pPr>
      <w:r>
        <w:rPr>
          <w:rFonts w:ascii="仿宋" w:hAnsi="仿宋" w:eastAsia="仿宋" w:cs="宋体"/>
          <w:color w:val="auto"/>
          <w:sz w:val="24"/>
          <w:szCs w:val="24"/>
          <w:highlight w:val="none"/>
        </w:rPr>
        <w:fldChar w:fldCharType="begin"/>
      </w:r>
      <w:r>
        <w:rPr>
          <w:rFonts w:hint="eastAsia" w:ascii="仿宋" w:hAnsi="仿宋" w:eastAsia="仿宋" w:cs="宋体"/>
          <w:color w:val="auto"/>
          <w:sz w:val="24"/>
          <w:szCs w:val="24"/>
          <w:highlight w:val="none"/>
        </w:rPr>
        <w:instrText xml:space="preserve">= 1 \* GB3</w:instrText>
      </w:r>
      <w:r>
        <w:rPr>
          <w:rFonts w:ascii="仿宋" w:hAnsi="仿宋" w:eastAsia="仿宋" w:cs="宋体"/>
          <w:color w:val="auto"/>
          <w:sz w:val="24"/>
          <w:szCs w:val="24"/>
          <w:highlight w:val="none"/>
        </w:rPr>
        <w:fldChar w:fldCharType="separate"/>
      </w:r>
      <w:r>
        <w:rPr>
          <w:rFonts w:hint="eastAsia" w:ascii="仿宋" w:hAnsi="仿宋" w:eastAsia="仿宋" w:cs="宋体"/>
          <w:color w:val="auto"/>
          <w:sz w:val="24"/>
          <w:szCs w:val="24"/>
          <w:highlight w:val="none"/>
        </w:rPr>
        <w:t>①</w:t>
      </w:r>
      <w:r>
        <w:rPr>
          <w:rFonts w:ascii="仿宋" w:hAnsi="仿宋" w:eastAsia="仿宋" w:cs="宋体"/>
          <w:color w:val="auto"/>
          <w:sz w:val="24"/>
          <w:szCs w:val="24"/>
          <w:highlight w:val="none"/>
        </w:rPr>
        <w:fldChar w:fldCharType="end"/>
      </w:r>
      <w:r>
        <w:rPr>
          <w:rFonts w:hint="eastAsia" w:ascii="仿宋" w:hAnsi="仿宋" w:eastAsia="仿宋" w:cs="宋体"/>
          <w:color w:val="auto"/>
          <w:sz w:val="24"/>
          <w:szCs w:val="24"/>
          <w:highlight w:val="none"/>
        </w:rPr>
        <w:t>资格后审资料文件；</w:t>
      </w:r>
    </w:p>
    <w:p>
      <w:pPr>
        <w:spacing w:line="480" w:lineRule="exact"/>
        <w:ind w:firstLine="720" w:firstLineChars="300"/>
        <w:rPr>
          <w:rFonts w:ascii="仿宋" w:hAnsi="仿宋" w:eastAsia="仿宋" w:cs="宋体"/>
          <w:color w:val="auto"/>
          <w:sz w:val="24"/>
          <w:szCs w:val="24"/>
          <w:highlight w:val="none"/>
        </w:rPr>
      </w:pPr>
      <w:r>
        <w:rPr>
          <w:rFonts w:ascii="仿宋" w:hAnsi="仿宋" w:eastAsia="仿宋" w:cs="宋体"/>
          <w:color w:val="auto"/>
          <w:sz w:val="24"/>
          <w:szCs w:val="24"/>
          <w:highlight w:val="none"/>
        </w:rPr>
        <w:fldChar w:fldCharType="begin"/>
      </w:r>
      <w:r>
        <w:rPr>
          <w:rFonts w:hint="eastAsia" w:ascii="仿宋" w:hAnsi="仿宋" w:eastAsia="仿宋" w:cs="宋体"/>
          <w:color w:val="auto"/>
          <w:sz w:val="24"/>
          <w:szCs w:val="24"/>
          <w:highlight w:val="none"/>
        </w:rPr>
        <w:instrText xml:space="preserve">= 2 \* GB3</w:instrText>
      </w:r>
      <w:r>
        <w:rPr>
          <w:rFonts w:ascii="仿宋" w:hAnsi="仿宋" w:eastAsia="仿宋" w:cs="宋体"/>
          <w:color w:val="auto"/>
          <w:sz w:val="24"/>
          <w:szCs w:val="24"/>
          <w:highlight w:val="none"/>
        </w:rPr>
        <w:fldChar w:fldCharType="separate"/>
      </w:r>
      <w:r>
        <w:rPr>
          <w:rFonts w:hint="eastAsia" w:ascii="仿宋" w:hAnsi="仿宋" w:eastAsia="仿宋" w:cs="宋体"/>
          <w:color w:val="auto"/>
          <w:sz w:val="24"/>
          <w:szCs w:val="24"/>
          <w:highlight w:val="none"/>
        </w:rPr>
        <w:t>②</w:t>
      </w:r>
      <w:r>
        <w:rPr>
          <w:rFonts w:ascii="仿宋" w:hAnsi="仿宋" w:eastAsia="仿宋" w:cs="宋体"/>
          <w:color w:val="auto"/>
          <w:sz w:val="24"/>
          <w:szCs w:val="24"/>
          <w:highlight w:val="none"/>
        </w:rPr>
        <w:fldChar w:fldCharType="end"/>
      </w:r>
      <w:r>
        <w:rPr>
          <w:rFonts w:hint="eastAsia" w:ascii="仿宋" w:hAnsi="仿宋" w:eastAsia="仿宋" w:cs="宋体"/>
          <w:color w:val="auto"/>
          <w:sz w:val="24"/>
          <w:szCs w:val="24"/>
          <w:highlight w:val="none"/>
        </w:rPr>
        <w:t>报价标；</w:t>
      </w:r>
    </w:p>
    <w:p>
      <w:pPr>
        <w:spacing w:line="48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纸质</w:t>
      </w:r>
      <w:r>
        <w:rPr>
          <w:rFonts w:ascii="仿宋" w:hAnsi="仿宋" w:eastAsia="仿宋" w:cs="宋体"/>
          <w:color w:val="auto"/>
          <w:sz w:val="24"/>
          <w:szCs w:val="24"/>
          <w:highlight w:val="none"/>
        </w:rPr>
        <w:t>投标文件分</w:t>
      </w:r>
      <w:r>
        <w:rPr>
          <w:rFonts w:hint="eastAsia" w:ascii="仿宋" w:hAnsi="仿宋" w:eastAsia="仿宋" w:cs="宋体"/>
          <w:color w:val="auto"/>
          <w:sz w:val="24"/>
          <w:szCs w:val="24"/>
          <w:highlight w:val="none"/>
        </w:rPr>
        <w:t>二</w:t>
      </w:r>
      <w:r>
        <w:rPr>
          <w:rFonts w:ascii="仿宋" w:hAnsi="仿宋" w:eastAsia="仿宋" w:cs="宋体"/>
          <w:color w:val="auto"/>
          <w:sz w:val="24"/>
          <w:szCs w:val="24"/>
          <w:highlight w:val="none"/>
        </w:rPr>
        <w:t>册</w:t>
      </w:r>
      <w:r>
        <w:rPr>
          <w:rFonts w:hint="eastAsia" w:ascii="仿宋" w:hAnsi="仿宋" w:eastAsia="仿宋" w:cs="宋体"/>
          <w:color w:val="auto"/>
          <w:sz w:val="24"/>
          <w:szCs w:val="24"/>
          <w:highlight w:val="none"/>
        </w:rPr>
        <w:t>，第一册为“资格后审资料文件”，第二册为 “报价标”。 投标人按投标文件组成顺序编写投标文件，并牢固装订成册、</w:t>
      </w:r>
      <w:r>
        <w:rPr>
          <w:rFonts w:hint="eastAsia" w:ascii="仿宋" w:hAnsi="仿宋" w:eastAsia="仿宋" w:cs="宋体"/>
          <w:b/>
          <w:color w:val="auto"/>
          <w:sz w:val="24"/>
          <w:szCs w:val="24"/>
          <w:highlight w:val="none"/>
        </w:rPr>
        <w:t>加盖投标单位红章</w:t>
      </w:r>
      <w:r>
        <w:rPr>
          <w:rFonts w:hint="eastAsia" w:ascii="仿宋" w:hAnsi="仿宋" w:eastAsia="仿宋" w:cs="宋体"/>
          <w:color w:val="auto"/>
          <w:sz w:val="24"/>
          <w:szCs w:val="24"/>
          <w:highlight w:val="none"/>
        </w:rPr>
        <w:t>。</w:t>
      </w:r>
    </w:p>
    <w:p>
      <w:pPr>
        <w:spacing w:line="48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4、谈判报价</w:t>
      </w:r>
    </w:p>
    <w:p>
      <w:pPr>
        <w:spacing w:line="480" w:lineRule="exact"/>
        <w:ind w:firstLine="480" w:firstLineChars="200"/>
        <w:rPr>
          <w:rFonts w:ascii="仿宋" w:hAnsi="仿宋" w:eastAsia="仿宋" w:cs="宋体"/>
          <w:color w:val="auto"/>
          <w:sz w:val="24"/>
          <w:szCs w:val="24"/>
          <w:highlight w:val="none"/>
        </w:rPr>
      </w:pPr>
      <w:r>
        <w:rPr>
          <w:rFonts w:hint="eastAsia" w:ascii="仿宋" w:hAnsi="仿宋" w:eastAsia="仿宋" w:cs="宋体"/>
          <w:bCs/>
          <w:color w:val="auto"/>
          <w:sz w:val="24"/>
          <w:szCs w:val="24"/>
          <w:highlight w:val="none"/>
        </w:rPr>
        <w:t xml:space="preserve">4.1 </w:t>
      </w:r>
      <w:r>
        <w:rPr>
          <w:rFonts w:hint="eastAsia" w:ascii="仿宋" w:hAnsi="仿宋" w:eastAsia="仿宋" w:cs="宋体"/>
          <w:color w:val="auto"/>
          <w:sz w:val="24"/>
          <w:szCs w:val="24"/>
          <w:highlight w:val="none"/>
        </w:rPr>
        <w:t>标的物</w:t>
      </w:r>
    </w:p>
    <w:p>
      <w:pPr>
        <w:spacing w:line="480" w:lineRule="exact"/>
        <w:ind w:firstLine="480" w:firstLineChars="200"/>
        <w:rPr>
          <w:rFonts w:ascii="仿宋" w:hAnsi="仿宋" w:eastAsia="仿宋" w:cs="宋体"/>
          <w:color w:val="auto"/>
          <w:sz w:val="24"/>
          <w:szCs w:val="24"/>
          <w:highlight w:val="none"/>
        </w:rPr>
      </w:pPr>
      <w:r>
        <w:rPr>
          <w:rFonts w:hint="eastAsia" w:ascii="仿宋" w:hAnsi="仿宋" w:eastAsia="仿宋" w:cs="宋体"/>
          <w:bCs/>
          <w:color w:val="auto"/>
          <w:sz w:val="24"/>
          <w:szCs w:val="24"/>
          <w:highlight w:val="none"/>
        </w:rPr>
        <w:t>详见项目需求。</w:t>
      </w:r>
    </w:p>
    <w:p>
      <w:pPr>
        <w:spacing w:line="480" w:lineRule="exact"/>
        <w:ind w:firstLine="480" w:firstLineChars="200"/>
        <w:rPr>
          <w:rFonts w:ascii="仿宋" w:hAnsi="仿宋" w:eastAsia="仿宋" w:cs="宋体"/>
          <w:bCs/>
          <w:color w:val="auto"/>
          <w:sz w:val="24"/>
          <w:szCs w:val="24"/>
          <w:highlight w:val="none"/>
        </w:rPr>
      </w:pPr>
      <w:r>
        <w:rPr>
          <w:rFonts w:hint="eastAsia" w:ascii="仿宋" w:hAnsi="仿宋" w:eastAsia="仿宋" w:cs="宋体"/>
          <w:color w:val="auto"/>
          <w:sz w:val="24"/>
          <w:szCs w:val="24"/>
          <w:highlight w:val="none"/>
        </w:rPr>
        <w:t xml:space="preserve">4.2 </w:t>
      </w:r>
      <w:r>
        <w:rPr>
          <w:rFonts w:hint="eastAsia" w:ascii="仿宋" w:hAnsi="仿宋" w:eastAsia="仿宋" w:cs="宋体"/>
          <w:bCs/>
          <w:color w:val="auto"/>
          <w:sz w:val="24"/>
          <w:szCs w:val="24"/>
          <w:highlight w:val="none"/>
        </w:rPr>
        <w:t>有关费用处理</w:t>
      </w:r>
    </w:p>
    <w:p>
      <w:pPr>
        <w:autoSpaceDE w:val="0"/>
        <w:autoSpaceDN w:val="0"/>
        <w:ind w:firstLine="360" w:firstLineChars="150"/>
        <w:jc w:val="left"/>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（1）</w:t>
      </w:r>
      <w:r>
        <w:rPr>
          <w:rFonts w:ascii="仿宋" w:hAnsi="仿宋" w:eastAsia="仿宋" w:cs="宋体"/>
          <w:bCs/>
          <w:color w:val="auto"/>
          <w:sz w:val="24"/>
          <w:szCs w:val="24"/>
          <w:highlight w:val="none"/>
        </w:rPr>
        <w:t>本次谈判，供应商必须就所有内容进行报价，少报无效。</w:t>
      </w:r>
    </w:p>
    <w:p>
      <w:pPr>
        <w:spacing w:line="560" w:lineRule="exact"/>
        <w:ind w:firstLine="480" w:firstLineChars="200"/>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（2）</w:t>
      </w:r>
      <w:r>
        <w:rPr>
          <w:rFonts w:ascii="仿宋" w:hAnsi="仿宋" w:eastAsia="仿宋" w:cs="宋体"/>
          <w:bCs/>
          <w:color w:val="auto"/>
          <w:sz w:val="24"/>
          <w:szCs w:val="24"/>
          <w:highlight w:val="none"/>
        </w:rPr>
        <w:t>报价应包括本项目</w:t>
      </w:r>
      <w:r>
        <w:rPr>
          <w:rFonts w:hint="eastAsia" w:ascii="仿宋" w:hAnsi="仿宋" w:eastAsia="仿宋" w:cs="仿宋"/>
          <w:color w:val="auto"/>
          <w:sz w:val="24"/>
          <w:szCs w:val="24"/>
          <w:highlight w:val="none"/>
          <w:lang w:val="zh-CN" w:eastAsia="zh-TW"/>
        </w:rPr>
        <w:t>包工、包料（如有采购人供应或另行发包的除外）、包质量、包工期、包安全、包价格的工程总承包方式。本工程报价含所有的费用（人工费、材料费、规费、税金、暂列金、建筑垃圾清运出施工范围等所有费用。）</w:t>
      </w:r>
    </w:p>
    <w:p>
      <w:pPr>
        <w:spacing w:line="480" w:lineRule="exact"/>
        <w:ind w:firstLine="480" w:firstLineChars="200"/>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（3）</w:t>
      </w:r>
      <w:r>
        <w:rPr>
          <w:rFonts w:ascii="仿宋" w:hAnsi="仿宋" w:eastAsia="仿宋" w:cs="宋体"/>
          <w:bCs/>
          <w:color w:val="auto"/>
          <w:sz w:val="24"/>
          <w:szCs w:val="24"/>
          <w:highlight w:val="none"/>
        </w:rPr>
        <w:t>最终报价将作为谈判小组评定成交供应商的依据。</w:t>
      </w:r>
    </w:p>
    <w:p>
      <w:pPr>
        <w:spacing w:line="480" w:lineRule="exact"/>
        <w:ind w:firstLine="480" w:firstLineChars="200"/>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4.3 其它费用处理</w:t>
      </w:r>
    </w:p>
    <w:p>
      <w:pPr>
        <w:spacing w:line="480" w:lineRule="exact"/>
        <w:ind w:firstLine="480" w:firstLineChars="200"/>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谈判文件未列明，而谈判供应商认为必需的费用也需列入报价。</w:t>
      </w:r>
    </w:p>
    <w:p>
      <w:pPr>
        <w:spacing w:line="480" w:lineRule="exact"/>
        <w:ind w:firstLine="480" w:firstLineChars="200"/>
        <w:rPr>
          <w:rFonts w:ascii="仿宋" w:hAnsi="仿宋" w:eastAsia="仿宋" w:cs="宋体"/>
          <w:bCs/>
          <w:color w:val="auto"/>
          <w:sz w:val="24"/>
          <w:szCs w:val="24"/>
          <w:highlight w:val="none"/>
        </w:rPr>
      </w:pPr>
      <w:r>
        <w:rPr>
          <w:rFonts w:hint="eastAsia" w:ascii="仿宋" w:hAnsi="仿宋" w:eastAsia="仿宋" w:cs="宋体"/>
          <w:color w:val="auto"/>
          <w:sz w:val="24"/>
          <w:szCs w:val="24"/>
          <w:highlight w:val="none"/>
        </w:rPr>
        <w:t>4.4报价采用的</w:t>
      </w:r>
      <w:r>
        <w:rPr>
          <w:rFonts w:hint="eastAsia" w:ascii="仿宋" w:hAnsi="仿宋" w:eastAsia="仿宋" w:cs="宋体"/>
          <w:bCs/>
          <w:color w:val="auto"/>
          <w:sz w:val="24"/>
          <w:szCs w:val="24"/>
          <w:highlight w:val="none"/>
        </w:rPr>
        <w:t>货币</w:t>
      </w:r>
    </w:p>
    <w:p>
      <w:pPr>
        <w:spacing w:line="480" w:lineRule="exact"/>
        <w:ind w:firstLine="480" w:firstLineChars="200"/>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响应文件中的单价和总价，无特殊规定的采用人民币报价，以元为单位标注。谈判文件中另有规定的按规定执行。</w:t>
      </w:r>
    </w:p>
    <w:p>
      <w:pPr>
        <w:spacing w:line="48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4.5谈判响应</w:t>
      </w:r>
      <w:r>
        <w:rPr>
          <w:rFonts w:hint="eastAsia" w:ascii="仿宋" w:hAnsi="仿宋" w:eastAsia="仿宋" w:cs="宋体"/>
          <w:bCs/>
          <w:color w:val="auto"/>
          <w:sz w:val="24"/>
          <w:szCs w:val="24"/>
          <w:highlight w:val="none"/>
        </w:rPr>
        <w:t>报价表上的价格应按谈判文件规定填写</w:t>
      </w:r>
      <w:r>
        <w:rPr>
          <w:rFonts w:hint="eastAsia" w:ascii="仿宋" w:hAnsi="仿宋" w:eastAsia="仿宋" w:cs="宋体"/>
          <w:color w:val="auto"/>
          <w:sz w:val="24"/>
          <w:szCs w:val="24"/>
          <w:highlight w:val="none"/>
        </w:rPr>
        <w:t>。</w:t>
      </w:r>
    </w:p>
    <w:p>
      <w:pPr>
        <w:spacing w:line="560" w:lineRule="exact"/>
        <w:ind w:firstLine="352" w:firstLineChars="146"/>
        <w:rPr>
          <w:rFonts w:ascii="仿宋" w:hAnsi="仿宋" w:eastAsia="仿宋" w:cs="Times New Roman"/>
          <w:b/>
          <w:color w:val="auto"/>
          <w:sz w:val="24"/>
          <w:szCs w:val="24"/>
          <w:highlight w:val="none"/>
        </w:rPr>
      </w:pPr>
      <w:bookmarkStart w:id="60" w:name="_Hlt26670493"/>
      <w:bookmarkEnd w:id="60"/>
      <w:bookmarkStart w:id="61" w:name="_Hlt26954850"/>
      <w:bookmarkEnd w:id="61"/>
      <w:bookmarkStart w:id="62" w:name="_Hlt26954848"/>
      <w:bookmarkEnd w:id="62"/>
      <w:bookmarkStart w:id="63" w:name="_Hlt26954852"/>
      <w:bookmarkEnd w:id="63"/>
      <w:bookmarkStart w:id="64" w:name="_Hlt26954739"/>
      <w:bookmarkEnd w:id="64"/>
      <w:bookmarkStart w:id="65" w:name="_Hlt26954844"/>
      <w:bookmarkEnd w:id="65"/>
      <w:bookmarkStart w:id="66" w:name="_Hlt26670489"/>
      <w:bookmarkEnd w:id="66"/>
      <w:bookmarkStart w:id="67" w:name="_Hlt26670482"/>
      <w:bookmarkEnd w:id="67"/>
      <w:bookmarkStart w:id="68" w:name="_Hlt26670486"/>
      <w:bookmarkEnd w:id="68"/>
      <w:bookmarkStart w:id="69" w:name="_Hlt26954842"/>
      <w:bookmarkEnd w:id="69"/>
      <w:bookmarkStart w:id="70" w:name="_Hlt26668983"/>
      <w:bookmarkEnd w:id="70"/>
      <w:bookmarkStart w:id="71" w:name="_Hlt26670425"/>
      <w:bookmarkEnd w:id="71"/>
      <w:bookmarkStart w:id="72" w:name="_Hlt26954846"/>
      <w:bookmarkEnd w:id="72"/>
      <w:bookmarkStart w:id="73" w:name="_Hlt26954749"/>
      <w:bookmarkEnd w:id="73"/>
      <w:bookmarkStart w:id="74" w:name="_Hlt26954854"/>
      <w:bookmarkEnd w:id="74"/>
      <w:bookmarkStart w:id="75" w:name="_Hlt26670403"/>
      <w:bookmarkEnd w:id="75"/>
      <w:bookmarkStart w:id="76" w:name="_Hlt26954734"/>
      <w:bookmarkEnd w:id="76"/>
      <w:bookmarkStart w:id="77" w:name="_Hlt26954731"/>
      <w:bookmarkEnd w:id="77"/>
      <w:bookmarkStart w:id="78" w:name="_Toc14577362"/>
      <w:bookmarkStart w:id="79" w:name="_Toc513029224"/>
      <w:bookmarkStart w:id="80" w:name="_Toc61149562"/>
      <w:r>
        <w:rPr>
          <w:rFonts w:hint="eastAsia" w:ascii="仿宋" w:hAnsi="仿宋" w:eastAsia="仿宋" w:cs="Times New Roman"/>
          <w:b/>
          <w:color w:val="auto"/>
          <w:sz w:val="24"/>
          <w:szCs w:val="24"/>
          <w:highlight w:val="none"/>
        </w:rPr>
        <w:t>三 、纸质谈判响应文件的递交</w:t>
      </w:r>
      <w:bookmarkEnd w:id="78"/>
      <w:bookmarkEnd w:id="79"/>
      <w:bookmarkEnd w:id="80"/>
    </w:p>
    <w:p>
      <w:pPr>
        <w:spacing w:line="480" w:lineRule="exact"/>
        <w:ind w:firstLine="480" w:firstLineChars="200"/>
        <w:rPr>
          <w:rFonts w:ascii="仿宋" w:hAnsi="仿宋" w:eastAsia="仿宋" w:cs="Times New Roman"/>
          <w:color w:val="auto"/>
          <w:sz w:val="24"/>
          <w:szCs w:val="24"/>
          <w:highlight w:val="none"/>
        </w:rPr>
      </w:pPr>
      <w:bookmarkStart w:id="81" w:name="_Hlt26954856"/>
      <w:bookmarkEnd w:id="81"/>
      <w:bookmarkStart w:id="82" w:name="_Toc14577363"/>
      <w:bookmarkStart w:id="83" w:name="_Toc61149563"/>
      <w:bookmarkStart w:id="84" w:name="_Toc462564084"/>
      <w:bookmarkStart w:id="85" w:name="_Toc513029225"/>
      <w:r>
        <w:rPr>
          <w:rFonts w:hint="eastAsia" w:ascii="仿宋" w:hAnsi="仿宋" w:eastAsia="仿宋" w:cs="Times New Roman"/>
          <w:color w:val="auto"/>
          <w:sz w:val="24"/>
          <w:szCs w:val="24"/>
          <w:highlight w:val="none"/>
        </w:rPr>
        <w:t>1、谈判响应文件</w:t>
      </w:r>
      <w:bookmarkStart w:id="86" w:name="_Hlt26954743"/>
      <w:bookmarkEnd w:id="86"/>
      <w:r>
        <w:rPr>
          <w:rFonts w:hint="eastAsia" w:ascii="仿宋" w:hAnsi="仿宋" w:eastAsia="仿宋" w:cs="Times New Roman"/>
          <w:color w:val="auto"/>
          <w:sz w:val="24"/>
          <w:szCs w:val="24"/>
          <w:highlight w:val="none"/>
        </w:rPr>
        <w:t>的密封和标记</w:t>
      </w:r>
      <w:bookmarkEnd w:id="82"/>
      <w:bookmarkEnd w:id="83"/>
      <w:bookmarkEnd w:id="84"/>
      <w:bookmarkEnd w:id="85"/>
    </w:p>
    <w:p>
      <w:pPr>
        <w:spacing w:after="120" w:line="360" w:lineRule="auto"/>
        <w:ind w:firstLine="480" w:firstLineChars="200"/>
        <w:rPr>
          <w:rFonts w:ascii="仿宋" w:hAnsi="仿宋" w:eastAsia="仿宋" w:cs="仿宋"/>
          <w:color w:val="auto"/>
          <w:szCs w:val="21"/>
          <w:highlight w:val="none"/>
        </w:rPr>
      </w:pPr>
      <w:bookmarkStart w:id="87" w:name="_Hlt26954752"/>
      <w:bookmarkEnd w:id="87"/>
      <w:bookmarkStart w:id="88" w:name="_Hlt26954858"/>
      <w:bookmarkEnd w:id="88"/>
      <w:bookmarkStart w:id="89" w:name="_Hlt26670496"/>
      <w:bookmarkEnd w:id="89"/>
      <w:bookmarkStart w:id="90" w:name="_Toc14577364"/>
      <w:bookmarkStart w:id="91" w:name="_Toc61149564"/>
      <w:bookmarkStart w:id="92" w:name="_Toc513029226"/>
      <w:r>
        <w:rPr>
          <w:rFonts w:hint="eastAsia" w:ascii="仿宋" w:hAnsi="仿宋" w:eastAsia="仿宋" w:cs="仿宋"/>
          <w:color w:val="auto"/>
          <w:sz w:val="24"/>
          <w:szCs w:val="24"/>
          <w:highlight w:val="none"/>
        </w:rPr>
        <w:t>1.1</w:t>
      </w:r>
      <w:r>
        <w:rPr>
          <w:rFonts w:hint="eastAsia" w:ascii="仿宋" w:hAnsi="仿宋" w:eastAsia="仿宋" w:cs="仿宋"/>
          <w:color w:val="auto"/>
          <w:sz w:val="23"/>
          <w:highlight w:val="none"/>
        </w:rPr>
        <w:t>谈判供应商应严格按照谈判文件要求的份数准备响应文件，每份响应文件须清楚地标明“正本”或“副本”字样。谈判供应商应将“资格审查资料包”、“报价标包”内的所有材料及复印件，须加盖本项目响应单位的公章并装订成册，各一份“正本”，二份“副本”，以便在评审时，供评委检查及提供留存，原件带至开标现场备查。</w:t>
      </w:r>
    </w:p>
    <w:p>
      <w:pPr>
        <w:spacing w:afterLines="50"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1.2密封的响应文件应：</w:t>
      </w:r>
    </w:p>
    <w:p>
      <w:pPr>
        <w:spacing w:afterLines="50"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（1）按采购公告中注明的地址送达规定地点；</w:t>
      </w:r>
    </w:p>
    <w:p>
      <w:pPr>
        <w:spacing w:afterLines="50" w:line="50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（2）注明参加谈判项目名称、谈判文件编号及参加的分包号；</w:t>
      </w:r>
    </w:p>
    <w:p>
      <w:pPr>
        <w:spacing w:afterLines="50" w:line="50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（3）密包装上应写明谈判供应商名称。</w:t>
      </w:r>
    </w:p>
    <w:p>
      <w:pPr>
        <w:spacing w:afterLines="50" w:line="50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1.3如果密封包装未按要求密封和加写标记，代理机构对误投或过早启封概不负责。对由此造成提前开封的响应文件，代理机构将予以拒绝，作无效响应处理。</w:t>
      </w:r>
    </w:p>
    <w:p>
      <w:pPr>
        <w:spacing w:line="48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2、</w:t>
      </w:r>
      <w:bookmarkEnd w:id="90"/>
      <w:bookmarkEnd w:id="91"/>
      <w:bookmarkEnd w:id="92"/>
      <w:r>
        <w:rPr>
          <w:rFonts w:hint="eastAsia" w:ascii="仿宋" w:hAnsi="仿宋" w:eastAsia="仿宋" w:cs="Times New Roman"/>
          <w:color w:val="auto"/>
          <w:sz w:val="24"/>
          <w:szCs w:val="24"/>
          <w:highlight w:val="none"/>
        </w:rPr>
        <w:t>响应文件开启时间</w:t>
      </w:r>
    </w:p>
    <w:p>
      <w:pPr>
        <w:spacing w:line="48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2.1代理机构收到响应文件的时间不得迟于本谈判文件规定的响应文件接收截止时间。</w:t>
      </w:r>
    </w:p>
    <w:p>
      <w:pPr>
        <w:spacing w:line="48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2.2代理机构可通过修改谈判文件自行决定酌情推迟响应文件接收截止时间，在此情况下，谈判供应商的所有权利和义务以及受制的响应文件接收截止时间均应以延长后新的响应文件接收截止时间为准。</w:t>
      </w:r>
    </w:p>
    <w:p>
      <w:pPr>
        <w:spacing w:line="480" w:lineRule="exact"/>
        <w:ind w:firstLine="480" w:firstLineChars="200"/>
        <w:rPr>
          <w:rFonts w:ascii="仿宋" w:hAnsi="仿宋" w:eastAsia="仿宋" w:cs="Times New Roman"/>
          <w:color w:val="auto"/>
          <w:sz w:val="24"/>
          <w:szCs w:val="24"/>
          <w:highlight w:val="none"/>
        </w:rPr>
      </w:pPr>
      <w:bookmarkStart w:id="93" w:name="_Hlt26954860"/>
      <w:bookmarkEnd w:id="93"/>
      <w:bookmarkStart w:id="94" w:name="_Toc14577365"/>
      <w:bookmarkStart w:id="95" w:name="_Toc513029227"/>
      <w:bookmarkStart w:id="96" w:name="_Toc61149565"/>
      <w:r>
        <w:rPr>
          <w:rFonts w:hint="eastAsia" w:ascii="仿宋" w:hAnsi="仿宋" w:eastAsia="仿宋" w:cs="Times New Roman"/>
          <w:color w:val="auto"/>
          <w:sz w:val="24"/>
          <w:szCs w:val="24"/>
          <w:highlight w:val="none"/>
        </w:rPr>
        <w:t>3、迟交的谈判响应文件</w:t>
      </w:r>
      <w:bookmarkEnd w:id="94"/>
      <w:bookmarkEnd w:id="95"/>
      <w:bookmarkEnd w:id="96"/>
    </w:p>
    <w:p>
      <w:pPr>
        <w:spacing w:line="48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3.1代理机构将拒绝在其规定的响应文件接收截止时间后接收谈判响应文件。</w:t>
      </w:r>
    </w:p>
    <w:p>
      <w:pPr>
        <w:spacing w:line="480" w:lineRule="exact"/>
        <w:ind w:firstLine="480" w:firstLineChars="200"/>
        <w:rPr>
          <w:rFonts w:ascii="仿宋" w:hAnsi="仿宋" w:eastAsia="仿宋" w:cs="Times New Roman"/>
          <w:color w:val="auto"/>
          <w:sz w:val="24"/>
          <w:szCs w:val="24"/>
          <w:highlight w:val="none"/>
        </w:rPr>
      </w:pPr>
      <w:bookmarkStart w:id="97" w:name="_Hlt26954754"/>
      <w:bookmarkEnd w:id="97"/>
      <w:bookmarkStart w:id="98" w:name="_Hlt26954862"/>
      <w:bookmarkEnd w:id="98"/>
      <w:bookmarkStart w:id="99" w:name="_Toc61149566"/>
      <w:bookmarkStart w:id="100" w:name="_Toc14577366"/>
      <w:bookmarkStart w:id="101" w:name="_Toc513029228"/>
      <w:r>
        <w:rPr>
          <w:rFonts w:hint="eastAsia" w:ascii="仿宋" w:hAnsi="仿宋" w:eastAsia="仿宋" w:cs="Times New Roman"/>
          <w:color w:val="auto"/>
          <w:sz w:val="24"/>
          <w:szCs w:val="24"/>
          <w:highlight w:val="none"/>
        </w:rPr>
        <w:t>4、谈判响应文件</w:t>
      </w:r>
      <w:bookmarkStart w:id="102" w:name="_Hlt26670588"/>
      <w:r>
        <w:rPr>
          <w:rFonts w:hint="eastAsia" w:ascii="仿宋" w:hAnsi="仿宋" w:eastAsia="仿宋" w:cs="Times New Roman"/>
          <w:color w:val="auto"/>
          <w:sz w:val="24"/>
          <w:szCs w:val="24"/>
          <w:highlight w:val="none"/>
        </w:rPr>
        <w:t>的修改</w:t>
      </w:r>
      <w:bookmarkEnd w:id="102"/>
      <w:r>
        <w:rPr>
          <w:rFonts w:hint="eastAsia" w:ascii="仿宋" w:hAnsi="仿宋" w:eastAsia="仿宋" w:cs="Times New Roman"/>
          <w:color w:val="auto"/>
          <w:sz w:val="24"/>
          <w:szCs w:val="24"/>
          <w:highlight w:val="none"/>
        </w:rPr>
        <w:t>和撤回</w:t>
      </w:r>
      <w:bookmarkEnd w:id="99"/>
      <w:bookmarkEnd w:id="100"/>
      <w:bookmarkEnd w:id="101"/>
    </w:p>
    <w:p>
      <w:pPr>
        <w:spacing w:line="48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4.1谈判供应商在递交谈判响应文件后，可以修改或撤回其谈判响应文件，但这种修改和撤回，必须在规定的响应文件接收截止时间前，以书面形式送达指定地点。</w:t>
      </w:r>
    </w:p>
    <w:p>
      <w:pPr>
        <w:spacing w:line="48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4.2谈判供应商的修改或撤回通知书，应按本文件规定进行编制、密封、标记和发送，并应在封套上加注“修改”和“撤回”字样。</w:t>
      </w:r>
    </w:p>
    <w:p>
      <w:pPr>
        <w:spacing w:line="48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4.3谈判供应商在提交最后报价之前，可以根据谈判情况退出谈判。</w:t>
      </w:r>
    </w:p>
    <w:p>
      <w:pPr>
        <w:spacing w:line="500" w:lineRule="exact"/>
        <w:ind w:firstLine="482" w:firstLineChars="200"/>
        <w:rPr>
          <w:rFonts w:ascii="仿宋" w:hAnsi="仿宋" w:eastAsia="仿宋" w:cs="Times New Roman"/>
          <w:b/>
          <w:color w:val="auto"/>
          <w:sz w:val="24"/>
          <w:szCs w:val="24"/>
          <w:highlight w:val="none"/>
        </w:rPr>
      </w:pPr>
      <w:bookmarkStart w:id="103" w:name="_Hlt26954864"/>
      <w:bookmarkEnd w:id="103"/>
      <w:bookmarkStart w:id="104" w:name="_Hlt26670523"/>
      <w:bookmarkEnd w:id="104"/>
      <w:r>
        <w:rPr>
          <w:rFonts w:hint="eastAsia" w:ascii="仿宋" w:hAnsi="仿宋" w:eastAsia="仿宋" w:cs="Times New Roman"/>
          <w:b/>
          <w:color w:val="auto"/>
          <w:sz w:val="24"/>
          <w:szCs w:val="24"/>
          <w:highlight w:val="none"/>
        </w:rPr>
        <w:t>四、谈判与评审</w:t>
      </w:r>
    </w:p>
    <w:p>
      <w:pPr>
        <w:spacing w:line="480" w:lineRule="exact"/>
        <w:ind w:firstLine="480" w:firstLineChars="200"/>
        <w:rPr>
          <w:rFonts w:ascii="仿宋" w:hAnsi="仿宋" w:eastAsia="仿宋" w:cs="宋体"/>
          <w:color w:val="auto"/>
          <w:sz w:val="24"/>
          <w:szCs w:val="24"/>
          <w:highlight w:val="none"/>
        </w:rPr>
      </w:pPr>
      <w:bookmarkStart w:id="105" w:name="_Toc20823302"/>
      <w:bookmarkStart w:id="106" w:name="_Toc16938546"/>
      <w:bookmarkStart w:id="107" w:name="_Toc513029230"/>
      <w:r>
        <w:rPr>
          <w:rFonts w:hint="eastAsia" w:ascii="仿宋" w:hAnsi="仿宋" w:eastAsia="仿宋" w:cs="宋体"/>
          <w:color w:val="auto"/>
          <w:sz w:val="24"/>
          <w:szCs w:val="24"/>
          <w:highlight w:val="none"/>
        </w:rPr>
        <w:t>1、</w:t>
      </w:r>
      <w:bookmarkEnd w:id="105"/>
      <w:bookmarkEnd w:id="106"/>
      <w:bookmarkEnd w:id="107"/>
      <w:r>
        <w:rPr>
          <w:rFonts w:hint="eastAsia" w:ascii="仿宋" w:hAnsi="仿宋" w:eastAsia="仿宋" w:cs="宋体"/>
          <w:color w:val="auto"/>
          <w:sz w:val="24"/>
          <w:szCs w:val="24"/>
          <w:highlight w:val="none"/>
        </w:rPr>
        <w:t>谈判仪式</w:t>
      </w:r>
    </w:p>
    <w:p>
      <w:pPr>
        <w:spacing w:line="48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1.1代理机构将在采购公告中规定的时间和地点组织谈判开始仪式，仪式由代理机构主持，供应商应委派携带有效证件的代表准时参加，参加仪式的代表需签名以证明其出席。</w:t>
      </w:r>
    </w:p>
    <w:p>
      <w:pPr>
        <w:spacing w:line="480" w:lineRule="exact"/>
        <w:ind w:firstLine="480" w:firstLineChars="200"/>
        <w:rPr>
          <w:rFonts w:ascii="仿宋" w:hAnsi="仿宋" w:eastAsia="仿宋" w:cs="宋体"/>
          <w:color w:val="auto"/>
          <w:sz w:val="24"/>
          <w:szCs w:val="24"/>
          <w:highlight w:val="none"/>
        </w:rPr>
      </w:pPr>
      <w:bookmarkStart w:id="108" w:name="_Toc513029231"/>
      <w:bookmarkStart w:id="109" w:name="_Toc16938547"/>
      <w:bookmarkStart w:id="110" w:name="_Toc20823303"/>
      <w:r>
        <w:rPr>
          <w:rFonts w:hint="eastAsia" w:ascii="仿宋" w:hAnsi="仿宋" w:eastAsia="仿宋" w:cs="宋体"/>
          <w:color w:val="auto"/>
          <w:sz w:val="24"/>
          <w:szCs w:val="24"/>
          <w:highlight w:val="none"/>
        </w:rPr>
        <w:t>2、谈判小组</w:t>
      </w:r>
    </w:p>
    <w:p>
      <w:pPr>
        <w:spacing w:line="48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2.1 谈判开始仪式结束后，代理机构将立即组织谈判小组进行评审、谈判。</w:t>
      </w:r>
    </w:p>
    <w:p>
      <w:pPr>
        <w:spacing w:line="480" w:lineRule="exact"/>
        <w:ind w:firstLine="480" w:firstLineChars="200"/>
        <w:rPr>
          <w:rFonts w:ascii="仿宋" w:hAnsi="仿宋" w:eastAsia="仿宋" w:cs="Times New Roman"/>
          <w:bCs/>
          <w:color w:val="auto"/>
          <w:sz w:val="24"/>
          <w:szCs w:val="24"/>
          <w:highlight w:val="none"/>
        </w:rPr>
      </w:pPr>
      <w:r>
        <w:rPr>
          <w:rFonts w:hint="eastAsia" w:ascii="仿宋" w:hAnsi="仿宋" w:eastAsia="仿宋" w:cs="宋体"/>
          <w:color w:val="auto"/>
          <w:sz w:val="24"/>
          <w:szCs w:val="24"/>
          <w:highlight w:val="none"/>
        </w:rPr>
        <w:t>2.2 谈判小组由政府采购评审专家、采购人代表组成，且人员构成符合政府采购有关规定。</w:t>
      </w:r>
    </w:p>
    <w:p>
      <w:pPr>
        <w:spacing w:line="50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2.3谈判小组应以科学、公正的态度参加评审、谈判工作并推荐成交候选人。评审专家在评审过程中不受任何干扰，独立、负责地提出评审意见，并对自己的评审意见承担责任。</w:t>
      </w:r>
    </w:p>
    <w:p>
      <w:pPr>
        <w:spacing w:line="48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 xml:space="preserve"> 2.4谈判小组将对供应商的商业、技术秘密予以保密。</w:t>
      </w:r>
    </w:p>
    <w:p>
      <w:pPr>
        <w:spacing w:line="48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3、评审过程的保密</w:t>
      </w:r>
      <w:bookmarkEnd w:id="108"/>
      <w:bookmarkEnd w:id="109"/>
      <w:bookmarkEnd w:id="110"/>
      <w:r>
        <w:rPr>
          <w:rFonts w:hint="eastAsia" w:ascii="仿宋" w:hAnsi="仿宋" w:eastAsia="仿宋" w:cs="宋体"/>
          <w:color w:val="auto"/>
          <w:sz w:val="24"/>
          <w:szCs w:val="24"/>
          <w:highlight w:val="none"/>
        </w:rPr>
        <w:t>与公正</w:t>
      </w:r>
    </w:p>
    <w:p>
      <w:pPr>
        <w:spacing w:line="48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3.1谈判开始仪式结束后，直至签订合同之日止，凡是与审查、澄清、评价和比较谈判响应文件的有关资料以及推荐建议等，均不得向供应商或与评审无关的其他人员透露。</w:t>
      </w:r>
    </w:p>
    <w:p>
      <w:pPr>
        <w:spacing w:line="48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3.2在评审过程中，如果供应商试图向代理机构和参与评审的人员施加任何影响，有可能对其响应文件按无效处理。</w:t>
      </w:r>
    </w:p>
    <w:p>
      <w:pPr>
        <w:spacing w:line="480" w:lineRule="exact"/>
        <w:ind w:firstLine="480" w:firstLineChars="200"/>
        <w:rPr>
          <w:rFonts w:ascii="仿宋" w:hAnsi="仿宋" w:eastAsia="仿宋" w:cs="宋体"/>
          <w:color w:val="auto"/>
          <w:sz w:val="24"/>
          <w:szCs w:val="24"/>
          <w:highlight w:val="none"/>
        </w:rPr>
      </w:pPr>
      <w:bookmarkStart w:id="111" w:name="_Toc20823304"/>
      <w:bookmarkStart w:id="112" w:name="_Toc513029232"/>
      <w:bookmarkStart w:id="113" w:name="_Toc16938548"/>
      <w:r>
        <w:rPr>
          <w:rFonts w:hint="eastAsia" w:ascii="仿宋" w:hAnsi="仿宋" w:eastAsia="仿宋" w:cs="宋体"/>
          <w:color w:val="auto"/>
          <w:sz w:val="24"/>
          <w:szCs w:val="24"/>
          <w:highlight w:val="none"/>
        </w:rPr>
        <w:t>4、评审过程的澄清</w:t>
      </w:r>
      <w:bookmarkEnd w:id="111"/>
      <w:bookmarkEnd w:id="112"/>
      <w:bookmarkEnd w:id="113"/>
      <w:r>
        <w:rPr>
          <w:rFonts w:hint="eastAsia" w:ascii="仿宋" w:hAnsi="仿宋" w:eastAsia="仿宋" w:cs="宋体"/>
          <w:color w:val="auto"/>
          <w:sz w:val="24"/>
          <w:szCs w:val="24"/>
          <w:highlight w:val="none"/>
        </w:rPr>
        <w:t>、说明和更正</w:t>
      </w:r>
    </w:p>
    <w:p>
      <w:pPr>
        <w:tabs>
          <w:tab w:val="left" w:pos="900"/>
        </w:tabs>
        <w:spacing w:line="480" w:lineRule="exact"/>
        <w:ind w:firstLine="480" w:firstLineChars="200"/>
        <w:rPr>
          <w:rFonts w:ascii="仿宋" w:hAnsi="仿宋" w:eastAsia="仿宋" w:cs="宋体"/>
          <w:color w:val="auto"/>
          <w:sz w:val="24"/>
          <w:szCs w:val="24"/>
          <w:highlight w:val="none"/>
        </w:rPr>
      </w:pPr>
      <w:bookmarkStart w:id="114" w:name="_Toc20823305"/>
      <w:bookmarkStart w:id="115" w:name="_Toc16938549"/>
      <w:bookmarkStart w:id="116" w:name="_Toc513029233"/>
      <w:r>
        <w:rPr>
          <w:rFonts w:hint="eastAsia" w:ascii="仿宋" w:hAnsi="仿宋" w:eastAsia="仿宋" w:cs="宋体"/>
          <w:color w:val="auto"/>
          <w:sz w:val="24"/>
          <w:szCs w:val="24"/>
          <w:highlight w:val="none"/>
        </w:rPr>
        <w:t>4.1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tabs>
          <w:tab w:val="left" w:pos="900"/>
        </w:tabs>
        <w:spacing w:line="48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4.2接到谈判小组要求的供应商应派人按谈判小组通知的时间和地点做出书面澄清、说明或更正。供应商的澄清、说明或者更正应当由法定代表人或授权代表签字或者加盖公章。由授权代表签字的，应当附法人授权书。供应商为自然人的，应当由本人签字并附身份证明。</w:t>
      </w:r>
    </w:p>
    <w:p>
      <w:pPr>
        <w:tabs>
          <w:tab w:val="left" w:pos="900"/>
        </w:tabs>
        <w:spacing w:line="48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4.3 接到谈判小组澄清要求的供应商如未按规定做出澄清，其风险由供应商自行承担。</w:t>
      </w:r>
    </w:p>
    <w:p>
      <w:pPr>
        <w:spacing w:line="48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5、对响应文件的初审</w:t>
      </w:r>
      <w:bookmarkEnd w:id="114"/>
      <w:bookmarkEnd w:id="115"/>
      <w:bookmarkEnd w:id="116"/>
    </w:p>
    <w:p>
      <w:pPr>
        <w:spacing w:line="48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5.1响应文件初审分为资格性检查和符合性检查。</w:t>
      </w:r>
    </w:p>
    <w:p>
      <w:pPr>
        <w:spacing w:line="48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资格性检查：依据法律法规和采购文件的规定，对响应文件中的资格证明文件等进行审查，以确定供应商是否具备参加谈判的资格。</w:t>
      </w:r>
    </w:p>
    <w:p>
      <w:pPr>
        <w:spacing w:line="48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符合性检查：依据采购文件的规定，从响应文件的有效性、完整性和对采购文件的响应程度进行审查，以确定是否对采购文件的实质性要求作出响应。</w:t>
      </w:r>
    </w:p>
    <w:p>
      <w:pPr>
        <w:spacing w:line="48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5.2在正式谈判之前，谈判小组将首先审查每份谈判响应文件是否实质性响应了采购文件的要求。实质性响应的谈判响应文件应该是与采购文件要求的全部条款、条件和规格相符，没有重大偏离或保留。</w:t>
      </w:r>
    </w:p>
    <w:p>
      <w:pPr>
        <w:spacing w:line="48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所谓重大偏离或保留是指与采购文件规定的实质性要求存在负偏离，或者在实质上与谈判文件不一致，而且限制了合同中买方和见证方的权利或供应商的义务，纠正这些偏离或保留将会对其他实质性响应要求的供应商的竞争地位产生不公正的影响。是否属于重大偏离由谈判小组按照少数服从多数的原则作出结论。谈判小组决定响应文件的响应性只根据谈判响应文件本身的内容，而不寻求外部的证据。</w:t>
      </w:r>
    </w:p>
    <w:p>
      <w:pPr>
        <w:spacing w:line="48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5.3被认定为未实质性和符合性响应谈判文件的响应文件的情形</w:t>
      </w:r>
    </w:p>
    <w:p>
      <w:pPr>
        <w:spacing w:line="48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 未按要求交纳谈判保证金的（如有）；</w:t>
      </w:r>
    </w:p>
    <w:p>
      <w:pPr>
        <w:spacing w:line="48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 未按照采购文件规定要求密封、签署、盖章的；</w:t>
      </w:r>
    </w:p>
    <w:p>
      <w:pPr>
        <w:spacing w:line="48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（3） 供应商在报价时采用选择性报价；</w:t>
      </w:r>
    </w:p>
    <w:p>
      <w:pPr>
        <w:spacing w:line="48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（4） 供应商不符合采购文件中规定的合格谈判供应商资格要求的；</w:t>
      </w:r>
    </w:p>
    <w:p>
      <w:pPr>
        <w:spacing w:line="48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（5） 不符合法律、法规和采购文件中规定的其他实质性要求的；</w:t>
      </w:r>
    </w:p>
    <w:p>
      <w:pPr>
        <w:spacing w:line="48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（6） 其他法律、法规及本采购文件规定的属未实质性响应的响应文件的情形。</w:t>
      </w:r>
    </w:p>
    <w:p>
      <w:pPr>
        <w:spacing w:line="48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5.4未实质性响应谈判文件的响应文件按无效响应处理，谈判小组将予以拒绝，供应商不得通过修改或撤销不合要求的偏离或保留而使其谈判响应文件成为实质性响应的文件。</w:t>
      </w:r>
    </w:p>
    <w:p>
      <w:pPr>
        <w:spacing w:line="48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5.5同一项目（项目未分包）或同一分包（项目有不同分包），如出现同一品牌同一型号的产品有多个供应商参加谈判时，谈判中在其他条件合格的前提下，选取报价最低的供应商参加谈判报价，其他供应商作为无效谈判响应处理（本项目不做此要求）。</w:t>
      </w:r>
    </w:p>
    <w:p>
      <w:pPr>
        <w:spacing w:line="480" w:lineRule="exact"/>
        <w:ind w:firstLine="480" w:firstLineChars="200"/>
        <w:rPr>
          <w:rFonts w:ascii="仿宋" w:hAnsi="仿宋" w:eastAsia="仿宋" w:cs="宋体"/>
          <w:color w:val="auto"/>
          <w:sz w:val="24"/>
          <w:szCs w:val="24"/>
          <w:highlight w:val="none"/>
        </w:rPr>
      </w:pPr>
      <w:bookmarkStart w:id="117" w:name="_Toc20823306"/>
      <w:bookmarkStart w:id="118" w:name="_Toc513029234"/>
      <w:bookmarkStart w:id="119" w:name="_Toc16938550"/>
      <w:r>
        <w:rPr>
          <w:rFonts w:hint="eastAsia" w:ascii="仿宋" w:hAnsi="仿宋" w:eastAsia="仿宋" w:cs="宋体"/>
          <w:color w:val="auto"/>
          <w:sz w:val="24"/>
          <w:szCs w:val="24"/>
          <w:highlight w:val="none"/>
        </w:rPr>
        <w:t>6、</w:t>
      </w:r>
      <w:bookmarkEnd w:id="117"/>
      <w:bookmarkEnd w:id="118"/>
      <w:bookmarkEnd w:id="119"/>
      <w:r>
        <w:rPr>
          <w:rFonts w:hint="eastAsia" w:ascii="仿宋" w:hAnsi="仿宋" w:eastAsia="仿宋" w:cs="宋体"/>
          <w:color w:val="auto"/>
          <w:sz w:val="24"/>
          <w:szCs w:val="24"/>
          <w:highlight w:val="none"/>
        </w:rPr>
        <w:t>谈判程序及成交原则</w:t>
      </w:r>
    </w:p>
    <w:p>
      <w:pPr>
        <w:spacing w:line="480" w:lineRule="exact"/>
        <w:ind w:firstLine="480" w:firstLineChars="200"/>
        <w:rPr>
          <w:rFonts w:ascii="仿宋" w:hAnsi="仿宋" w:eastAsia="仿宋" w:cs="宋体"/>
          <w:color w:val="auto"/>
          <w:sz w:val="24"/>
          <w:szCs w:val="24"/>
          <w:highlight w:val="none"/>
        </w:rPr>
      </w:pPr>
      <w:bookmarkStart w:id="120" w:name="_Toc20823307"/>
      <w:bookmarkStart w:id="121" w:name="_Toc16938551"/>
      <w:bookmarkStart w:id="122" w:name="_Toc513029235"/>
      <w:r>
        <w:rPr>
          <w:rFonts w:hint="eastAsia" w:ascii="仿宋" w:hAnsi="仿宋" w:eastAsia="仿宋" w:cs="宋体"/>
          <w:color w:val="auto"/>
          <w:sz w:val="24"/>
          <w:szCs w:val="24"/>
          <w:highlight w:val="none"/>
        </w:rPr>
        <w:t>6.1谈判程序</w:t>
      </w:r>
    </w:p>
    <w:p>
      <w:pPr>
        <w:spacing w:line="48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6.1.1 对于通过资格性和符合性审查的供应商，谈判小组所有成员将集中与单一供应商分别进行谈判。</w:t>
      </w:r>
    </w:p>
    <w:p>
      <w:pPr>
        <w:spacing w:line="48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在谈判过程中，谈判小组可能根据谈判文件和谈判情况实质性变动的内容有：采购需求中的技术、服务要求以及合同草案条款。对谈判文件作出的实质性变动是谈判文件的有效组成部分，谈判小组将以书面形式同时通知所有参加谈判的供应商。供应商应当按照谈判文件的变动情况和谈判小组的要求重新提交响应文件，并由其法定代表人或授权代表签字或者加盖公章。</w:t>
      </w:r>
    </w:p>
    <w:p>
      <w:pPr>
        <w:spacing w:line="48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 xml:space="preserve"> 6.1.2谈判文件能够详细列明采购标的的技术、服务要求的，谈判结束后，谈判小组将要求所有实质性响应的供应商在规定时间内提交最后报价。</w:t>
      </w:r>
    </w:p>
    <w:p>
      <w:pPr>
        <w:spacing w:line="48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谈判文件不能详细列明采购标的的技术、服务要求，需经谈判由供应商提供最终设计方案或解决方案的，谈判结束后，谈判小组将按照少数服从多数的原则投票推荐3家以上供应商的设计方案或者解决方案，并要求其在规定时间内提交最后报价。</w:t>
      </w:r>
    </w:p>
    <w:p>
      <w:pPr>
        <w:spacing w:line="48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6.1.3谈判供应商未在谈判小组规定的时间内完成最后报价的视为放弃谈判，其谈判响应按无效响应处理。最后报价须由谈判供应商法定代表人或授权代表签字或者加盖公章。已提交响应文件的供应商，在提交最后报价之前，可以根据谈判情况退出谈判。</w:t>
      </w:r>
    </w:p>
    <w:p>
      <w:pPr>
        <w:spacing w:line="48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6.1.4 各供应商最后报价结束后,如谈判小组认为最后最低的供应商的报价明显低于其自身成本，涉嫌恶意竞争，有可能影响商品质量和不能诚信履约的，则有权要求其在规定的期限内提供书面文件予以说明理由，并提交相关证明材料。若该供应商拒绝说明或未在规定期限内提供书面说明，或虽有书面说明但仍无法证明其报价合理性的，则谈判小组有权取消其谈判成交资格，按顺序由最后报价次低的供应商递补，以此类推。</w:t>
      </w:r>
    </w:p>
    <w:p>
      <w:pPr>
        <w:snapToGrid w:val="0"/>
        <w:spacing w:line="480" w:lineRule="exact"/>
        <w:ind w:firstLine="480" w:firstLineChars="200"/>
        <w:outlineLvl w:val="1"/>
        <w:rPr>
          <w:rFonts w:ascii="仿宋" w:hAnsi="仿宋" w:eastAsia="仿宋" w:cs="宋体"/>
          <w:b/>
          <w:color w:val="auto"/>
          <w:sz w:val="24"/>
          <w:szCs w:val="24"/>
          <w:highlight w:val="none"/>
        </w:rPr>
      </w:pPr>
      <w:r>
        <w:rPr>
          <w:rFonts w:hint="eastAsia" w:ascii="仿宋" w:hAnsi="仿宋" w:eastAsia="仿宋" w:cs="宋体"/>
          <w:color w:val="auto"/>
          <w:sz w:val="24"/>
          <w:szCs w:val="24"/>
          <w:highlight w:val="none"/>
        </w:rPr>
        <w:t xml:space="preserve">6.1.5  </w:t>
      </w:r>
      <w:r>
        <w:rPr>
          <w:rFonts w:hint="eastAsia" w:ascii="仿宋" w:hAnsi="仿宋" w:eastAsia="仿宋" w:cs="宋体"/>
          <w:b/>
          <w:color w:val="auto"/>
          <w:sz w:val="24"/>
          <w:szCs w:val="24"/>
          <w:highlight w:val="none"/>
        </w:rPr>
        <w:t>评审步骤</w:t>
      </w:r>
    </w:p>
    <w:p>
      <w:pPr>
        <w:snapToGrid w:val="0"/>
        <w:spacing w:line="48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1.评审步骤规定：</w:t>
      </w:r>
    </w:p>
    <w:p>
      <w:pPr>
        <w:snapToGrid w:val="0"/>
        <w:spacing w:line="48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第一阶段：对每个响应谈判的供应商的谈判资格进行审查。</w:t>
      </w:r>
    </w:p>
    <w:p>
      <w:pPr>
        <w:snapToGrid w:val="0"/>
        <w:spacing w:line="48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第二阶段：对资格审查通过的响应谈判供应商的技术标进行审查。</w:t>
      </w:r>
    </w:p>
    <w:p>
      <w:pPr>
        <w:snapToGrid w:val="0"/>
        <w:spacing w:line="48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第三阶段：谈判小组集中与每个谈判供应商分别进行谈判：内容主要是对谈判响应文件中的项目方案的澄清、修正、补充、确认以及价格调整等。报价文件中的报价作为第一轮谈判报价。谈判文件有实质性变动的，谈判小组应当以书面形式通知所有谈判供应商。</w:t>
      </w:r>
    </w:p>
    <w:p>
      <w:pPr>
        <w:snapToGrid w:val="0"/>
        <w:spacing w:line="48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第四阶段：谈判结束后，谈判小组要求所有作出有效的实质性响应的谈判供应商在规定的时间内提出最终报价，包括但不限于如最终澄清方案、有关承诺等。</w:t>
      </w:r>
    </w:p>
    <w:p>
      <w:pPr>
        <w:snapToGrid w:val="0"/>
        <w:spacing w:line="48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第五阶段：谈判小组对谈判供应商的最终报价进行评议和比较，在实质性响应谈判文件，谈判小组将校核后的各谈判供应商的报价从低到高排序。报价相同时，抽签确定。</w:t>
      </w:r>
    </w:p>
    <w:p>
      <w:pPr>
        <w:snapToGrid w:val="0"/>
        <w:spacing w:line="48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2.在谈判过程中，谈判供应商提交的澄清文件和最终报价文件，由谈判供应商的法人代表或被委托授权人签署后生效，谈判供应商受其约束。</w:t>
      </w:r>
    </w:p>
    <w:p>
      <w:pPr>
        <w:spacing w:line="48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6.2 成交原则</w:t>
      </w:r>
    </w:p>
    <w:p>
      <w:pPr>
        <w:spacing w:line="480" w:lineRule="exact"/>
        <w:ind w:firstLine="480" w:firstLineChars="200"/>
        <w:rPr>
          <w:rFonts w:ascii="仿宋" w:hAnsi="仿宋" w:eastAsia="仿宋" w:cs="宋体"/>
          <w:b/>
          <w:color w:val="auto"/>
          <w:sz w:val="24"/>
          <w:szCs w:val="24"/>
          <w:highlight w:val="none"/>
        </w:rPr>
      </w:pPr>
      <w:r>
        <w:rPr>
          <w:rFonts w:hint="eastAsia" w:ascii="仿宋" w:hAnsi="仿宋" w:eastAsia="仿宋" w:cs="宋体"/>
          <w:color w:val="auto"/>
          <w:sz w:val="24"/>
          <w:szCs w:val="24"/>
          <w:highlight w:val="none"/>
        </w:rPr>
        <w:t>6.2.1谈判小组将从质量和服务均能满足采购文件实质性响应要求的供应商中</w:t>
      </w:r>
      <w:r>
        <w:rPr>
          <w:rFonts w:hint="eastAsia" w:ascii="仿宋" w:hAnsi="仿宋" w:eastAsia="仿宋" w:cs="宋体"/>
          <w:b/>
          <w:color w:val="auto"/>
          <w:sz w:val="24"/>
          <w:szCs w:val="24"/>
          <w:highlight w:val="none"/>
        </w:rPr>
        <w:t>，按照最后有效报价由低到高顺序推荐成交候选人。</w:t>
      </w:r>
    </w:p>
    <w:p>
      <w:pPr>
        <w:spacing w:line="48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6.3采购活动终止的情况</w:t>
      </w:r>
    </w:p>
    <w:p>
      <w:pPr>
        <w:spacing w:line="48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 xml:space="preserve"> 出现下列情形之一的，本次竞争性谈判采购活动将被终止：</w:t>
      </w:r>
    </w:p>
    <w:p>
      <w:pPr>
        <w:spacing w:line="48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（1）因情况变化，不再符合规定的竞争性谈判采购方式适用情形的；</w:t>
      </w:r>
    </w:p>
    <w:p>
      <w:pPr>
        <w:spacing w:line="48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（2）出现影响采购公正的违法、违规行为的；</w:t>
      </w:r>
    </w:p>
    <w:p>
      <w:pPr>
        <w:spacing w:line="48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（3）在采购过程中符合竞争要求的供应商或者报价未超过采购预算的供应商不足3家的。</w:t>
      </w:r>
    </w:p>
    <w:p>
      <w:pPr>
        <w:spacing w:line="360" w:lineRule="auto"/>
        <w:ind w:firstLine="480" w:firstLineChars="200"/>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（4）因重大变故，采购任务取消的。</w:t>
      </w:r>
    </w:p>
    <w:p>
      <w:pPr>
        <w:pStyle w:val="126"/>
        <w:spacing w:line="360" w:lineRule="auto"/>
        <w:ind w:firstLine="480" w:firstLineChars="200"/>
        <w:rPr>
          <w:rFonts w:hint="eastAsia"/>
          <w:color w:val="auto"/>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《政府采购非招标采购方式管理暂行办法》</w:t>
      </w:r>
      <w:r>
        <w:rPr>
          <w:rFonts w:hint="eastAsia" w:ascii="仿宋" w:hAnsi="仿宋" w:eastAsia="仿宋" w:cs="仿宋"/>
          <w:color w:val="auto"/>
          <w:sz w:val="24"/>
          <w:highlight w:val="none"/>
          <w:lang w:val="en-US" w:eastAsia="zh-CN"/>
        </w:rPr>
        <w:t>中华人民共和国财政部令第74号</w:t>
      </w:r>
      <w:r>
        <w:rPr>
          <w:rFonts w:hint="eastAsia" w:ascii="仿宋" w:hAnsi="仿宋" w:eastAsia="仿宋" w:cs="仿宋"/>
          <w:color w:val="auto"/>
          <w:sz w:val="24"/>
          <w:highlight w:val="none"/>
        </w:rPr>
        <w:t>第二十七条规定情形的</w:t>
      </w:r>
      <w:r>
        <w:rPr>
          <w:rFonts w:hint="eastAsia" w:ascii="仿宋" w:hAnsi="仿宋" w:eastAsia="仿宋" w:cs="仿宋"/>
          <w:color w:val="auto"/>
          <w:sz w:val="24"/>
          <w:highlight w:val="none"/>
          <w:lang w:val="en-US" w:eastAsia="zh-CN"/>
        </w:rPr>
        <w:t>规定的除外。</w:t>
      </w:r>
    </w:p>
    <w:bookmarkEnd w:id="120"/>
    <w:bookmarkEnd w:id="121"/>
    <w:bookmarkEnd w:id="122"/>
    <w:p>
      <w:pPr>
        <w:spacing w:line="360" w:lineRule="auto"/>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五、成交</w:t>
      </w:r>
    </w:p>
    <w:p>
      <w:pPr>
        <w:spacing w:line="480" w:lineRule="exact"/>
        <w:ind w:firstLine="480" w:firstLineChars="200"/>
        <w:rPr>
          <w:rFonts w:ascii="仿宋" w:hAnsi="仿宋" w:eastAsia="仿宋" w:cs="Times New Roman"/>
          <w:color w:val="auto"/>
          <w:sz w:val="24"/>
          <w:szCs w:val="24"/>
          <w:highlight w:val="none"/>
        </w:rPr>
      </w:pPr>
      <w:bookmarkStart w:id="123" w:name="_Toc513029238"/>
      <w:bookmarkStart w:id="124" w:name="_Toc16938554"/>
      <w:bookmarkStart w:id="125" w:name="_Toc20823310"/>
      <w:r>
        <w:rPr>
          <w:rFonts w:hint="eastAsia" w:ascii="仿宋" w:hAnsi="仿宋" w:eastAsia="仿宋" w:cs="Times New Roman"/>
          <w:color w:val="auto"/>
          <w:sz w:val="24"/>
          <w:szCs w:val="24"/>
          <w:highlight w:val="none"/>
        </w:rPr>
        <w:t>1、</w:t>
      </w:r>
      <w:bookmarkEnd w:id="123"/>
      <w:r>
        <w:rPr>
          <w:rFonts w:hint="eastAsia" w:ascii="仿宋" w:hAnsi="仿宋" w:eastAsia="仿宋" w:cs="Times New Roman"/>
          <w:color w:val="auto"/>
          <w:sz w:val="24"/>
          <w:szCs w:val="24"/>
          <w:highlight w:val="none"/>
        </w:rPr>
        <w:t>确定</w:t>
      </w:r>
      <w:bookmarkEnd w:id="124"/>
      <w:bookmarkEnd w:id="125"/>
      <w:r>
        <w:rPr>
          <w:rFonts w:hint="eastAsia" w:ascii="仿宋" w:hAnsi="仿宋" w:eastAsia="仿宋" w:cs="Times New Roman"/>
          <w:color w:val="auto"/>
          <w:sz w:val="24"/>
          <w:szCs w:val="24"/>
          <w:highlight w:val="none"/>
        </w:rPr>
        <w:t>成交单位</w:t>
      </w:r>
    </w:p>
    <w:p>
      <w:pPr>
        <w:spacing w:line="48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1.1谈判小组根据本采购文件规定评审办法、原始谈判记录和谈判结果，编写评审报告，推荐成交供应商。</w:t>
      </w:r>
    </w:p>
    <w:p>
      <w:pPr>
        <w:spacing w:line="48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1.2确定成交供应商后，代理机构将在“</w:t>
      </w:r>
      <w:r>
        <w:rPr>
          <w:rFonts w:hint="eastAsia" w:ascii="仿宋" w:hAnsi="仿宋" w:eastAsia="仿宋" w:cs="Times New Roman"/>
          <w:color w:val="auto"/>
          <w:sz w:val="24"/>
          <w:szCs w:val="24"/>
          <w:highlight w:val="none"/>
          <w:lang w:eastAsia="zh-CN"/>
        </w:rPr>
        <w:t>南通开发区教育网（http://www.ntkfqjy.com/）</w:t>
      </w:r>
      <w:r>
        <w:rPr>
          <w:rFonts w:hint="eastAsia" w:ascii="仿宋" w:hAnsi="仿宋" w:eastAsia="仿宋" w:cs="Times New Roman"/>
          <w:color w:val="auto"/>
          <w:sz w:val="24"/>
          <w:szCs w:val="24"/>
          <w:highlight w:val="none"/>
        </w:rPr>
        <w:t>”发布成交结果公告，公告期限为1个工作日。</w:t>
      </w:r>
    </w:p>
    <w:p>
      <w:pPr>
        <w:spacing w:line="48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1.3若有充分证据证明，成交供应商出现下列情况之一的，一经查实，将被取消成交资格：</w:t>
      </w:r>
    </w:p>
    <w:p>
      <w:pPr>
        <w:spacing w:line="48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（1）提供虚假材料谋取成交的；</w:t>
      </w:r>
    </w:p>
    <w:p>
      <w:pPr>
        <w:spacing w:line="48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（2）与评审专家、采购人、其他供应商或者代理机构工作人员恶意串通的；</w:t>
      </w:r>
    </w:p>
    <w:p>
      <w:pPr>
        <w:spacing w:line="48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（3）向评审专家、采购人或代理机构工作人员行贿或者提供其他不正当利益的；</w:t>
      </w:r>
    </w:p>
    <w:p>
      <w:pPr>
        <w:spacing w:line="48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（4）恶意竞争，最终总报价明显低于其自身合理成本且又无法提供证明的；</w:t>
      </w:r>
    </w:p>
    <w:p>
      <w:pPr>
        <w:spacing w:line="48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（5）不满足本采购文件规定的实质性要求，但在评审过程中又未被谈判小组发现的；</w:t>
      </w:r>
    </w:p>
    <w:p>
      <w:pPr>
        <w:spacing w:line="48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（6）成交后无正当理由拒不与采购人签订政府采购合同或者未按照采购文件确定的事项签订政府采购合同；</w:t>
      </w:r>
    </w:p>
    <w:p>
      <w:pPr>
        <w:spacing w:line="48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（7）将政府采购合同转包；</w:t>
      </w:r>
    </w:p>
    <w:p>
      <w:pPr>
        <w:spacing w:line="48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（8）法律、法规、规章规定的属于成交无效的其他情形。</w:t>
      </w:r>
    </w:p>
    <w:p>
      <w:pPr>
        <w:spacing w:line="48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2、质疑处理</w:t>
      </w:r>
    </w:p>
    <w:p>
      <w:pPr>
        <w:spacing w:line="48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2.1参加谈判供应商认为采购文件、采购过程和采购结果使自己的权益受到损害的，可以在知道或应知其权益受到损害之日起七个工作日内，以书面形式向代理机构或采购人提出质疑。上述应知其权益受到损害之日，是指：</w:t>
      </w:r>
    </w:p>
    <w:p>
      <w:pPr>
        <w:spacing w:line="48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2.1.1</w:t>
      </w:r>
      <w:r>
        <w:rPr>
          <w:rFonts w:ascii="仿宋" w:hAnsi="仿宋" w:eastAsia="仿宋" w:cs="Times New Roman"/>
          <w:color w:val="auto"/>
          <w:sz w:val="24"/>
          <w:szCs w:val="24"/>
          <w:highlight w:val="none"/>
        </w:rPr>
        <w:t>对可以质疑的采购文件提出质疑的，为收到采购文件之日或者采购文件公告期限届满之日；</w:t>
      </w:r>
      <w:r>
        <w:rPr>
          <w:rFonts w:ascii="仿宋" w:hAnsi="仿宋" w:eastAsia="仿宋" w:cs="Times New Roman"/>
          <w:color w:val="auto"/>
          <w:sz w:val="24"/>
          <w:szCs w:val="24"/>
          <w:highlight w:val="none"/>
        </w:rPr>
        <w:br w:type="textWrapping"/>
      </w:r>
      <w:r>
        <w:rPr>
          <w:rFonts w:ascii="仿宋" w:hAnsi="仿宋" w:eastAsia="仿宋" w:cs="Times New Roman"/>
          <w:color w:val="auto"/>
          <w:sz w:val="24"/>
          <w:szCs w:val="24"/>
          <w:highlight w:val="none"/>
        </w:rPr>
        <w:t>　　</w:t>
      </w:r>
      <w:r>
        <w:rPr>
          <w:rFonts w:hint="eastAsia" w:ascii="仿宋" w:hAnsi="仿宋" w:eastAsia="仿宋" w:cs="Times New Roman"/>
          <w:color w:val="auto"/>
          <w:sz w:val="24"/>
          <w:szCs w:val="24"/>
          <w:highlight w:val="none"/>
        </w:rPr>
        <w:t>2.1.2</w:t>
      </w:r>
      <w:r>
        <w:rPr>
          <w:rFonts w:ascii="仿宋" w:hAnsi="仿宋" w:eastAsia="仿宋" w:cs="Times New Roman"/>
          <w:color w:val="auto"/>
          <w:sz w:val="24"/>
          <w:szCs w:val="24"/>
          <w:highlight w:val="none"/>
        </w:rPr>
        <w:t>对采购过程提出质疑的，为各采购程序环节结束之日；</w:t>
      </w:r>
      <w:r>
        <w:rPr>
          <w:rFonts w:ascii="仿宋" w:hAnsi="仿宋" w:eastAsia="仿宋" w:cs="Times New Roman"/>
          <w:color w:val="auto"/>
          <w:sz w:val="24"/>
          <w:szCs w:val="24"/>
          <w:highlight w:val="none"/>
        </w:rPr>
        <w:br w:type="textWrapping"/>
      </w:r>
      <w:r>
        <w:rPr>
          <w:rFonts w:ascii="仿宋" w:hAnsi="仿宋" w:eastAsia="仿宋" w:cs="Times New Roman"/>
          <w:color w:val="auto"/>
          <w:sz w:val="24"/>
          <w:szCs w:val="24"/>
          <w:highlight w:val="none"/>
        </w:rPr>
        <w:t>　　</w:t>
      </w:r>
      <w:r>
        <w:rPr>
          <w:rFonts w:hint="eastAsia" w:ascii="仿宋" w:hAnsi="仿宋" w:eastAsia="仿宋" w:cs="Times New Roman"/>
          <w:color w:val="auto"/>
          <w:sz w:val="24"/>
          <w:szCs w:val="24"/>
          <w:highlight w:val="none"/>
        </w:rPr>
        <w:t>2.1.3</w:t>
      </w:r>
      <w:r>
        <w:rPr>
          <w:rFonts w:ascii="仿宋" w:hAnsi="仿宋" w:eastAsia="仿宋" w:cs="Times New Roman"/>
          <w:color w:val="auto"/>
          <w:sz w:val="24"/>
          <w:szCs w:val="24"/>
          <w:highlight w:val="none"/>
        </w:rPr>
        <w:t>对成交结果提出质疑的，为成交结果公告期限届满之日。</w:t>
      </w:r>
    </w:p>
    <w:p>
      <w:pPr>
        <w:spacing w:line="48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2.2质疑必须以参加谈判供应商法定代表人或授权代表（响应文件中所确定的）原件送达的方式提交，未按上述要求提交的质疑函（含传真、电子邮件等）代理机构有权不予受理。</w:t>
      </w:r>
    </w:p>
    <w:p>
      <w:pPr>
        <w:spacing w:line="48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2.3未参加谈判采购活动的供应商或在谈判采购活动中自身权益未受到损害的供应商所提出的质疑不予受理。</w:t>
      </w:r>
    </w:p>
    <w:p>
      <w:pPr>
        <w:spacing w:line="48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2.4质疑函应当包括下列内容：</w:t>
      </w:r>
    </w:p>
    <w:p>
      <w:pPr>
        <w:spacing w:line="48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2.4.1质疑供应商的名称、地址、邮编、联系人、联系电话；</w:t>
      </w:r>
    </w:p>
    <w:p>
      <w:pPr>
        <w:spacing w:line="48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2.4.2具体的质疑事项及明确的请求；</w:t>
      </w:r>
    </w:p>
    <w:p>
      <w:pPr>
        <w:spacing w:line="48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2.4.3认为自己合法权益受到损害或可能受到损害的相关证据材料；</w:t>
      </w:r>
    </w:p>
    <w:p>
      <w:pPr>
        <w:spacing w:line="48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2.4.4提起质疑的日期；</w:t>
      </w:r>
    </w:p>
    <w:p>
      <w:pPr>
        <w:spacing w:line="48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2.4.5质疑函应当署名：质疑人为自然人的，应当由本人签字并附有效身份证明；质疑人为法人或其他组织的，应当由法定代表人签字并加盖单位公章。质疑人委托代理质疑的，应当向代理机构提交授权委托书，并载明委托代理的具体权限和事项。</w:t>
      </w:r>
    </w:p>
    <w:p>
      <w:pPr>
        <w:spacing w:line="48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2.5代理机构收到质疑函后，将对质疑的形式和内容进行审查，如质疑函内容、格式不符合规定，代理机构将告知质疑人进行补正。</w:t>
      </w:r>
    </w:p>
    <w:p>
      <w:pPr>
        <w:spacing w:line="48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2.6质疑人应当在法定质疑期限内进行补正并重新提交质疑函，拒不补正或者在法定期限内未重新提交质疑函的，为无效质疑，代理机构有权不予受理。</w:t>
      </w:r>
    </w:p>
    <w:p>
      <w:pPr>
        <w:spacing w:line="48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2.7对于内容、格式符合规定的质疑函，代理机构应当在收到参加谈判供应商的书面质疑后七个工作日内作出答复，但答复的内容不得涉及商业秘密。</w:t>
      </w:r>
    </w:p>
    <w:p>
      <w:pPr>
        <w:spacing w:line="48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2.8供应商提出书面质疑必须有理、有据，不得恶意质疑或提交虚假质疑。否则，一经查实，代理机构有权依据政府采购的有关规定，报请政府采购监管部门对该供应商进行相应的行政处罚。</w:t>
      </w:r>
    </w:p>
    <w:p>
      <w:pPr>
        <w:spacing w:line="500" w:lineRule="exact"/>
        <w:rPr>
          <w:rFonts w:ascii="仿宋" w:hAnsi="仿宋" w:eastAsia="仿宋" w:cs="Times New Roman"/>
          <w:b/>
          <w:color w:val="auto"/>
          <w:sz w:val="24"/>
          <w:szCs w:val="24"/>
          <w:highlight w:val="none"/>
        </w:rPr>
      </w:pPr>
      <w:bookmarkStart w:id="126" w:name="_Toc513029237"/>
      <w:bookmarkStart w:id="127" w:name="_Toc16938553"/>
      <w:bookmarkStart w:id="128" w:name="_Toc20823309"/>
      <w:r>
        <w:rPr>
          <w:rFonts w:hint="eastAsia" w:ascii="仿宋" w:hAnsi="仿宋" w:eastAsia="仿宋" w:cs="Times New Roman"/>
          <w:b/>
          <w:color w:val="auto"/>
          <w:sz w:val="24"/>
          <w:szCs w:val="24"/>
          <w:highlight w:val="none"/>
        </w:rPr>
        <w:t>六、合同签订相关事项</w:t>
      </w:r>
    </w:p>
    <w:p>
      <w:pPr>
        <w:spacing w:line="48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1、签订合同</w:t>
      </w:r>
    </w:p>
    <w:p>
      <w:pPr>
        <w:spacing w:line="48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1.l成交供应商确定后，代理机构将向成交供应商发出成交通知书。成交供应商应按成交通知书规定的时间、地点,按照采购文件确定的事项与采购人签订政府采购合同，且不得迟于成交通知书发出之日起十五日内，由此给采购人造成损失的，成交供应商还应承担赔偿责任。</w:t>
      </w:r>
    </w:p>
    <w:p>
      <w:pPr>
        <w:spacing w:line="48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1.2 采购文件、成交供应商的谈判响应文件及谈判采购过程中有关澄清、承诺文件均应作为合同附件。</w:t>
      </w:r>
    </w:p>
    <w:p>
      <w:pPr>
        <w:spacing w:line="48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1.3 签订合同后，成交供应商不得将成交产品及其他相关服务进行转包。未经采购人同意，成交供应商也不得采用分包的形式履行合同，否则采购人有权终止合同，转包或分包造成采购人损失的，成交供应商应承担相应赔偿责任。</w:t>
      </w:r>
    </w:p>
    <w:bookmarkEnd w:id="126"/>
    <w:bookmarkEnd w:id="127"/>
    <w:bookmarkEnd w:id="128"/>
    <w:p>
      <w:pPr>
        <w:spacing w:line="460" w:lineRule="exact"/>
        <w:jc w:val="left"/>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七、采购代理服务费</w:t>
      </w:r>
    </w:p>
    <w:p>
      <w:pPr>
        <w:pStyle w:val="57"/>
        <w:ind w:firstLine="602" w:firstLineChars="250"/>
        <w:rPr>
          <w:rFonts w:ascii="仿宋" w:hAnsi="仿宋" w:eastAsia="仿宋" w:cs="Times New Roman"/>
          <w:color w:val="auto"/>
          <w:sz w:val="24"/>
          <w:szCs w:val="24"/>
          <w:highlight w:val="none"/>
        </w:rPr>
      </w:pPr>
      <w:r>
        <w:rPr>
          <w:rFonts w:hint="eastAsia" w:ascii="仿宋" w:hAnsi="仿宋" w:eastAsia="仿宋"/>
          <w:b/>
          <w:bCs/>
          <w:color w:val="auto"/>
          <w:sz w:val="24"/>
          <w:highlight w:val="none"/>
        </w:rPr>
        <w:t>被确认成交成交供应商须向采购代理机构支付服务费，本项目成交服务费收取人民币2000元</w:t>
      </w:r>
      <w:r>
        <w:rPr>
          <w:rFonts w:hint="eastAsia" w:ascii="仿宋" w:hAnsi="仿宋" w:eastAsia="仿宋"/>
          <w:b/>
          <w:bCs/>
          <w:color w:val="auto"/>
          <w:sz w:val="24"/>
          <w:highlight w:val="none"/>
          <w:lang w:eastAsia="zh-CN"/>
        </w:rPr>
        <w:t>，</w:t>
      </w:r>
      <w:r>
        <w:rPr>
          <w:rFonts w:hint="eastAsia" w:ascii="仿宋" w:hAnsi="仿宋" w:eastAsia="仿宋"/>
          <w:b/>
          <w:bCs/>
          <w:color w:val="auto"/>
          <w:sz w:val="24"/>
          <w:highlight w:val="none"/>
        </w:rPr>
        <w:t>中标人在开标结束后交招标代理机构。</w:t>
      </w:r>
    </w:p>
    <w:p>
      <w:pPr>
        <w:rPr>
          <w:rFonts w:ascii="仿宋" w:hAnsi="仿宋" w:eastAsia="仿宋" w:cs="宋体"/>
          <w:b/>
          <w:color w:val="auto"/>
          <w:sz w:val="30"/>
          <w:szCs w:val="30"/>
          <w:highlight w:val="none"/>
        </w:rPr>
      </w:pPr>
      <w:r>
        <w:rPr>
          <w:rFonts w:hint="eastAsia" w:ascii="仿宋" w:hAnsi="仿宋" w:eastAsia="仿宋" w:cs="宋体"/>
          <w:b/>
          <w:color w:val="auto"/>
          <w:sz w:val="30"/>
          <w:szCs w:val="30"/>
          <w:highlight w:val="none"/>
        </w:rPr>
        <w:br w:type="page"/>
      </w:r>
    </w:p>
    <w:p>
      <w:pPr>
        <w:keepNext/>
        <w:spacing w:line="360" w:lineRule="auto"/>
        <w:jc w:val="center"/>
        <w:outlineLvl w:val="0"/>
        <w:rPr>
          <w:rFonts w:ascii="仿宋" w:hAnsi="仿宋" w:eastAsia="仿宋" w:cs="Times New Roman"/>
          <w:b/>
          <w:color w:val="auto"/>
          <w:sz w:val="30"/>
          <w:szCs w:val="30"/>
          <w:highlight w:val="none"/>
        </w:rPr>
      </w:pPr>
      <w:r>
        <w:rPr>
          <w:rFonts w:hint="eastAsia" w:ascii="仿宋" w:hAnsi="仿宋" w:eastAsia="仿宋" w:cs="宋体"/>
          <w:b/>
          <w:color w:val="auto"/>
          <w:sz w:val="30"/>
          <w:szCs w:val="30"/>
          <w:highlight w:val="none"/>
        </w:rPr>
        <w:t>第三章  合同条款及格式</w:t>
      </w:r>
    </w:p>
    <w:p>
      <w:pPr>
        <w:spacing w:line="420" w:lineRule="exact"/>
        <w:ind w:firstLine="480" w:firstLineChars="200"/>
        <w:rPr>
          <w:rFonts w:ascii="仿宋" w:hAnsi="仿宋" w:eastAsia="仿宋" w:cs="仿宋"/>
          <w:color w:val="auto"/>
          <w:sz w:val="24"/>
          <w:highlight w:val="none"/>
          <w:u w:val="single"/>
        </w:rPr>
      </w:pPr>
      <w:bookmarkStart w:id="129" w:name="_Toc23828480"/>
      <w:bookmarkStart w:id="130" w:name="_Toc26554097"/>
      <w:bookmarkStart w:id="131" w:name="_Toc61149622"/>
      <w:r>
        <w:rPr>
          <w:rFonts w:hint="eastAsia" w:ascii="仿宋" w:hAnsi="仿宋" w:eastAsia="仿宋" w:cs="仿宋"/>
          <w:color w:val="auto"/>
          <w:sz w:val="24"/>
          <w:highlight w:val="none"/>
        </w:rPr>
        <w:t>甲    方（全称）：</w:t>
      </w:r>
    </w:p>
    <w:p>
      <w:pPr>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乙    人（全称）：</w:t>
      </w:r>
    </w:p>
    <w:p>
      <w:pPr>
        <w:spacing w:line="42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依据《中华人民共和国合同法》、《中华人民共和国招投标法》及其他有关法律、行政法规，遵循平等、自愿、公平和诚实信用的原则，双方就项目事项经协商一致，订立本合同。</w:t>
      </w:r>
    </w:p>
    <w:p>
      <w:pPr>
        <w:spacing w:line="420" w:lineRule="exact"/>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一、工程概况</w:t>
      </w:r>
    </w:p>
    <w:p>
      <w:pPr>
        <w:spacing w:line="420" w:lineRule="exact"/>
        <w:ind w:firstLine="480" w:firstLineChars="200"/>
        <w:rPr>
          <w:rFonts w:ascii="仿宋" w:hAnsi="仿宋" w:eastAsia="仿宋" w:cs="仿宋"/>
          <w:color w:val="auto"/>
          <w:kern w:val="0"/>
          <w:sz w:val="24"/>
          <w:highlight w:val="none"/>
          <w:u w:val="single"/>
        </w:rPr>
      </w:pPr>
      <w:r>
        <w:rPr>
          <w:rFonts w:hint="eastAsia" w:ascii="仿宋" w:hAnsi="仿宋" w:eastAsia="仿宋" w:cs="仿宋"/>
          <w:bCs/>
          <w:color w:val="auto"/>
          <w:sz w:val="24"/>
          <w:highlight w:val="none"/>
        </w:rPr>
        <w:t>工程名称</w:t>
      </w:r>
      <w:r>
        <w:rPr>
          <w:rFonts w:hint="eastAsia" w:ascii="仿宋" w:hAnsi="仿宋" w:eastAsia="仿宋" w:cs="仿宋"/>
          <w:color w:val="auto"/>
          <w:sz w:val="24"/>
          <w:highlight w:val="none"/>
        </w:rPr>
        <w:t>：</w:t>
      </w:r>
    </w:p>
    <w:p>
      <w:pPr>
        <w:spacing w:line="420" w:lineRule="exact"/>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工程地点：</w:t>
      </w:r>
    </w:p>
    <w:p>
      <w:pPr>
        <w:spacing w:line="420" w:lineRule="exact"/>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二、工程范围</w:t>
      </w:r>
    </w:p>
    <w:p>
      <w:pPr>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工程范围和内容：</w:t>
      </w:r>
      <w:r>
        <w:rPr>
          <w:rFonts w:hint="eastAsia" w:ascii="仿宋" w:hAnsi="仿宋" w:eastAsia="仿宋" w:cs="仿宋"/>
          <w:color w:val="auto"/>
          <w:sz w:val="24"/>
          <w:highlight w:val="none"/>
          <w:u w:val="single"/>
        </w:rPr>
        <w:t>招标文件所含内容。</w:t>
      </w:r>
    </w:p>
    <w:p>
      <w:pPr>
        <w:spacing w:line="420" w:lineRule="exact"/>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三、工程期限</w:t>
      </w:r>
    </w:p>
    <w:p>
      <w:pPr>
        <w:spacing w:line="44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开工日期：</w:t>
      </w:r>
      <w:r>
        <w:rPr>
          <w:rFonts w:hint="eastAsia" w:ascii="仿宋" w:hAnsi="仿宋" w:eastAsia="仿宋" w:cs="仿宋"/>
          <w:color w:val="auto"/>
          <w:sz w:val="24"/>
          <w:highlight w:val="none"/>
          <w:u w:val="single"/>
        </w:rPr>
        <w:t xml:space="preserve"> 2021</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w:t>
      </w:r>
    </w:p>
    <w:p>
      <w:pP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竣工日期：</w:t>
      </w:r>
      <w:r>
        <w:rPr>
          <w:rFonts w:hint="eastAsia" w:ascii="仿宋" w:hAnsi="仿宋" w:eastAsia="仿宋" w:cs="仿宋"/>
          <w:color w:val="auto"/>
          <w:sz w:val="24"/>
          <w:highlight w:val="none"/>
          <w:u w:val="single"/>
        </w:rPr>
        <w:t xml:space="preserve"> 2021</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w:t>
      </w:r>
    </w:p>
    <w:p>
      <w:pPr>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合同工期总日历天数30天。具体已开工报告为准。</w:t>
      </w:r>
    </w:p>
    <w:p>
      <w:pPr>
        <w:numPr>
          <w:ilvl w:val="0"/>
          <w:numId w:val="1"/>
        </w:numPr>
        <w:spacing w:line="420" w:lineRule="exact"/>
        <w:ind w:firstLine="460"/>
        <w:rPr>
          <w:rFonts w:ascii="仿宋" w:hAnsi="仿宋" w:eastAsia="仿宋" w:cs="仿宋"/>
          <w:color w:val="auto"/>
          <w:sz w:val="24"/>
          <w:highlight w:val="none"/>
        </w:rPr>
      </w:pPr>
      <w:r>
        <w:rPr>
          <w:rFonts w:hint="eastAsia" w:ascii="仿宋" w:hAnsi="仿宋" w:eastAsia="仿宋" w:cs="仿宋"/>
          <w:bCs/>
          <w:color w:val="auto"/>
          <w:sz w:val="24"/>
          <w:highlight w:val="none"/>
        </w:rPr>
        <w:t>质量标准</w:t>
      </w:r>
    </w:p>
    <w:p>
      <w:pPr>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工程质量标准：</w:t>
      </w:r>
      <w:r>
        <w:rPr>
          <w:rFonts w:hint="eastAsia" w:ascii="仿宋" w:hAnsi="仿宋" w:eastAsia="仿宋" w:cs="仿宋"/>
          <w:color w:val="auto"/>
          <w:kern w:val="0"/>
          <w:sz w:val="24"/>
          <w:highlight w:val="none"/>
          <w:u w:val="single"/>
        </w:rPr>
        <w:t>合格</w:t>
      </w:r>
      <w:r>
        <w:rPr>
          <w:rFonts w:hint="eastAsia" w:ascii="仿宋" w:hAnsi="仿宋" w:eastAsia="仿宋" w:cs="仿宋"/>
          <w:color w:val="auto"/>
          <w:sz w:val="24"/>
          <w:highlight w:val="none"/>
        </w:rPr>
        <w:t>。</w:t>
      </w:r>
    </w:p>
    <w:p>
      <w:pPr>
        <w:spacing w:line="420" w:lineRule="exact"/>
        <w:ind w:firstLine="460"/>
        <w:rPr>
          <w:rFonts w:ascii="仿宋" w:hAnsi="仿宋" w:eastAsia="仿宋" w:cs="仿宋"/>
          <w:bCs/>
          <w:color w:val="auto"/>
          <w:sz w:val="24"/>
          <w:highlight w:val="none"/>
        </w:rPr>
      </w:pPr>
      <w:r>
        <w:rPr>
          <w:rFonts w:hint="eastAsia" w:ascii="仿宋" w:hAnsi="仿宋" w:eastAsia="仿宋" w:cs="仿宋"/>
          <w:bCs/>
          <w:color w:val="auto"/>
          <w:sz w:val="24"/>
          <w:highlight w:val="none"/>
        </w:rPr>
        <w:t xml:space="preserve">五、合同总价 </w:t>
      </w:r>
    </w:p>
    <w:p>
      <w:pPr>
        <w:spacing w:line="420" w:lineRule="exact"/>
        <w:ind w:firstLine="460"/>
        <w:rPr>
          <w:rFonts w:ascii="仿宋" w:hAnsi="仿宋" w:eastAsia="仿宋" w:cs="仿宋"/>
          <w:color w:val="auto"/>
          <w:sz w:val="24"/>
          <w:highlight w:val="none"/>
        </w:rPr>
      </w:pPr>
      <w:r>
        <w:rPr>
          <w:rFonts w:hint="eastAsia" w:ascii="仿宋" w:hAnsi="仿宋" w:eastAsia="仿宋" w:cs="仿宋"/>
          <w:color w:val="auto"/>
          <w:sz w:val="24"/>
          <w:highlight w:val="none"/>
        </w:rPr>
        <w:t>本工程中标价为人民币(大写)，¥：元。</w:t>
      </w:r>
    </w:p>
    <w:p>
      <w:pPr>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六、工程付款方式</w:t>
      </w:r>
    </w:p>
    <w:p>
      <w:pPr>
        <w:spacing w:line="360" w:lineRule="auto"/>
        <w:ind w:firstLine="440" w:firstLineChars="200"/>
        <w:jc w:val="left"/>
        <w:rPr>
          <w:rFonts w:ascii="仿宋" w:hAnsi="仿宋" w:eastAsia="仿宋" w:cs="仿宋"/>
          <w:b/>
          <w:bCs/>
          <w:color w:val="auto"/>
          <w:sz w:val="28"/>
          <w:szCs w:val="24"/>
          <w:highlight w:val="none"/>
          <w:u w:val="none"/>
        </w:rPr>
      </w:pPr>
      <w:r>
        <w:rPr>
          <w:rFonts w:hint="eastAsia" w:ascii="仿宋" w:hAnsi="仿宋" w:eastAsia="仿宋" w:cs="仿宋"/>
          <w:color w:val="auto"/>
          <w:sz w:val="22"/>
          <w:szCs w:val="24"/>
          <w:highlight w:val="none"/>
          <w:u w:val="none"/>
        </w:rPr>
        <w:t>本工程</w:t>
      </w:r>
      <w:r>
        <w:rPr>
          <w:rFonts w:hint="eastAsia" w:ascii="仿宋" w:hAnsi="仿宋" w:eastAsia="仿宋" w:cs="仿宋"/>
          <w:color w:val="auto"/>
          <w:sz w:val="22"/>
          <w:szCs w:val="24"/>
          <w:highlight w:val="none"/>
          <w:u w:val="none"/>
          <w:lang w:val="en-US" w:eastAsia="zh-CN"/>
        </w:rPr>
        <w:t>竣工</w:t>
      </w:r>
      <w:r>
        <w:rPr>
          <w:rFonts w:hint="eastAsia" w:ascii="仿宋" w:hAnsi="仿宋" w:eastAsia="仿宋" w:cs="仿宋"/>
          <w:color w:val="auto"/>
          <w:sz w:val="22"/>
          <w:szCs w:val="24"/>
          <w:highlight w:val="none"/>
          <w:u w:val="none"/>
        </w:rPr>
        <w:t>验收合格</w:t>
      </w:r>
      <w:r>
        <w:rPr>
          <w:rFonts w:hint="eastAsia" w:ascii="仿宋" w:hAnsi="仿宋" w:eastAsia="仿宋" w:cs="仿宋"/>
          <w:color w:val="auto"/>
          <w:sz w:val="22"/>
          <w:szCs w:val="24"/>
          <w:highlight w:val="none"/>
          <w:u w:val="none"/>
          <w:lang w:val="en-US" w:eastAsia="zh-CN"/>
        </w:rPr>
        <w:t>后</w:t>
      </w:r>
      <w:r>
        <w:rPr>
          <w:rFonts w:hint="eastAsia" w:ascii="仿宋" w:hAnsi="仿宋" w:eastAsia="仿宋" w:cs="仿宋"/>
          <w:color w:val="auto"/>
          <w:sz w:val="22"/>
          <w:szCs w:val="24"/>
          <w:highlight w:val="none"/>
          <w:u w:val="none"/>
        </w:rPr>
        <w:t>付</w:t>
      </w:r>
      <w:r>
        <w:rPr>
          <w:rFonts w:hint="eastAsia" w:ascii="仿宋" w:hAnsi="仿宋" w:eastAsia="仿宋" w:cs="仿宋"/>
          <w:color w:val="auto"/>
          <w:sz w:val="22"/>
          <w:szCs w:val="24"/>
          <w:highlight w:val="none"/>
          <w:u w:val="none"/>
          <w:lang w:val="en-US" w:eastAsia="zh-CN"/>
        </w:rPr>
        <w:t>合同价9</w:t>
      </w:r>
      <w:r>
        <w:rPr>
          <w:rFonts w:hint="eastAsia" w:ascii="仿宋" w:hAnsi="仿宋" w:eastAsia="仿宋" w:cs="仿宋"/>
          <w:color w:val="auto"/>
          <w:sz w:val="22"/>
          <w:szCs w:val="24"/>
          <w:highlight w:val="none"/>
          <w:u w:val="none"/>
        </w:rPr>
        <w:t>0%，</w:t>
      </w:r>
      <w:r>
        <w:rPr>
          <w:rFonts w:hint="eastAsia" w:ascii="仿宋" w:hAnsi="仿宋" w:eastAsia="仿宋" w:cs="仿宋"/>
          <w:color w:val="auto"/>
          <w:sz w:val="22"/>
          <w:szCs w:val="24"/>
          <w:highlight w:val="none"/>
          <w:u w:val="none"/>
          <w:lang w:val="en-US" w:eastAsia="zh-CN"/>
        </w:rPr>
        <w:t>质保期满且无任何质量问题后付合同价的10%</w:t>
      </w:r>
      <w:r>
        <w:rPr>
          <w:rFonts w:hint="eastAsia" w:ascii="仿宋" w:hAnsi="仿宋" w:eastAsia="仿宋" w:cs="仿宋"/>
          <w:color w:val="auto"/>
          <w:sz w:val="22"/>
          <w:szCs w:val="24"/>
          <w:highlight w:val="none"/>
          <w:u w:val="none"/>
        </w:rPr>
        <w:t>，</w:t>
      </w:r>
      <w:r>
        <w:rPr>
          <w:rFonts w:hint="eastAsia" w:ascii="仿宋" w:hAnsi="仿宋" w:eastAsia="仿宋" w:cs="仿宋"/>
          <w:color w:val="auto"/>
          <w:sz w:val="22"/>
          <w:szCs w:val="28"/>
          <w:highlight w:val="none"/>
          <w:u w:val="none"/>
        </w:rPr>
        <w:t>以上付款均不计利息。</w:t>
      </w:r>
    </w:p>
    <w:p>
      <w:pPr>
        <w:spacing w:line="360" w:lineRule="auto"/>
        <w:ind w:firstLine="470" w:firstLineChars="196"/>
        <w:rPr>
          <w:rFonts w:ascii="仿宋" w:hAnsi="仿宋" w:eastAsia="仿宋" w:cs="仿宋"/>
          <w:bCs/>
          <w:color w:val="auto"/>
          <w:sz w:val="24"/>
          <w:highlight w:val="none"/>
        </w:rPr>
      </w:pPr>
      <w:r>
        <w:rPr>
          <w:rFonts w:hint="eastAsia" w:ascii="仿宋" w:hAnsi="仿宋" w:eastAsia="仿宋" w:cs="仿宋"/>
          <w:bCs/>
          <w:color w:val="auto"/>
          <w:sz w:val="24"/>
          <w:highlight w:val="none"/>
        </w:rPr>
        <w:t>七、履约保证</w:t>
      </w:r>
    </w:p>
    <w:p>
      <w:pPr>
        <w:spacing w:line="360" w:lineRule="auto"/>
        <w:ind w:left="239" w:leftChars="114"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承包人履约保证</w:t>
      </w:r>
      <w:r>
        <w:rPr>
          <w:rFonts w:hint="eastAsia" w:ascii="仿宋" w:hAnsi="仿宋" w:eastAsia="仿宋" w:cs="仿宋"/>
          <w:color w:val="auto"/>
          <w:sz w:val="24"/>
          <w:highlight w:val="none"/>
          <w:lang w:val="en-US" w:eastAsia="zh-CN"/>
        </w:rPr>
        <w:t>金支付</w:t>
      </w:r>
      <w:r>
        <w:rPr>
          <w:rFonts w:hint="eastAsia" w:ascii="仿宋" w:hAnsi="仿宋" w:eastAsia="仿宋" w:cs="仿宋"/>
          <w:color w:val="auto"/>
          <w:sz w:val="24"/>
          <w:highlight w:val="none"/>
        </w:rPr>
        <w:t>方式为</w:t>
      </w:r>
      <w:r>
        <w:rPr>
          <w:rFonts w:hint="eastAsia" w:ascii="仿宋" w:hAnsi="仿宋" w:eastAsia="仿宋" w:cs="仿宋"/>
          <w:color w:val="auto"/>
          <w:sz w:val="24"/>
          <w:highlight w:val="none"/>
          <w:u w:val="single"/>
          <w:lang w:val="en-US" w:eastAsia="zh-CN"/>
        </w:rPr>
        <w:t>转账方式</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none"/>
        </w:rPr>
        <w:t>履约保证金</w:t>
      </w:r>
      <w:r>
        <w:rPr>
          <w:rFonts w:hint="eastAsia" w:ascii="仿宋" w:hAnsi="仿宋" w:eastAsia="仿宋" w:cs="仿宋"/>
          <w:color w:val="auto"/>
          <w:sz w:val="24"/>
          <w:highlight w:val="none"/>
          <w:u w:val="none"/>
          <w:lang w:val="en-US" w:eastAsia="zh-CN"/>
        </w:rPr>
        <w:t>为</w:t>
      </w:r>
      <w:r>
        <w:rPr>
          <w:rFonts w:hint="eastAsia" w:ascii="仿宋" w:hAnsi="仿宋" w:eastAsia="仿宋" w:cs="仿宋"/>
          <w:color w:val="auto"/>
          <w:sz w:val="24"/>
          <w:highlight w:val="none"/>
          <w:u w:val="single"/>
        </w:rPr>
        <w:t>合同价的5%</w:t>
      </w:r>
      <w:r>
        <w:rPr>
          <w:rFonts w:hint="eastAsia" w:ascii="仿宋" w:hAnsi="仿宋" w:eastAsia="仿宋" w:cs="仿宋"/>
          <w:color w:val="auto"/>
          <w:sz w:val="24"/>
          <w:highlight w:val="none"/>
          <w:u w:val="none"/>
          <w:lang w:eastAsia="zh-CN"/>
        </w:rPr>
        <w:t>，</w:t>
      </w:r>
      <w:r>
        <w:rPr>
          <w:rFonts w:hint="eastAsia" w:ascii="仿宋" w:hAnsi="仿宋" w:eastAsia="仿宋" w:cs="仿宋"/>
          <w:color w:val="auto"/>
          <w:sz w:val="24"/>
          <w:highlight w:val="none"/>
          <w:u w:val="none"/>
          <w:lang w:val="en-US" w:eastAsia="zh-CN"/>
        </w:rPr>
        <w:t>共</w:t>
      </w:r>
      <w:r>
        <w:rPr>
          <w:rFonts w:hint="eastAsia" w:ascii="仿宋" w:hAnsi="仿宋" w:eastAsia="仿宋" w:cs="仿宋"/>
          <w:color w:val="auto"/>
          <w:sz w:val="24"/>
          <w:highlight w:val="none"/>
          <w:u w:val="single"/>
        </w:rPr>
        <w:t xml:space="preserve">   元</w:t>
      </w:r>
      <w:r>
        <w:rPr>
          <w:rFonts w:hint="eastAsia" w:ascii="仿宋" w:hAnsi="仿宋" w:eastAsia="仿宋" w:cs="仿宋"/>
          <w:color w:val="auto"/>
          <w:sz w:val="24"/>
          <w:highlight w:val="none"/>
        </w:rPr>
        <w:t>。</w:t>
      </w:r>
    </w:p>
    <w:p>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color w:val="auto"/>
          <w:sz w:val="24"/>
          <w:highlight w:val="none"/>
        </w:rPr>
        <w:t>承包人提供的履约保证金按合同规定执行后的剩</w:t>
      </w:r>
      <w:r>
        <w:rPr>
          <w:rFonts w:hint="eastAsia" w:ascii="仿宋" w:hAnsi="仿宋" w:eastAsia="仿宋" w:cs="仿宋"/>
          <w:color w:val="auto"/>
          <w:spacing w:val="-8"/>
          <w:sz w:val="24"/>
          <w:highlight w:val="none"/>
        </w:rPr>
        <w:t>余款，在整个工程竣工验收达规定质量要求后</w:t>
      </w:r>
      <w:r>
        <w:rPr>
          <w:rFonts w:hint="eastAsia" w:ascii="仿宋" w:hAnsi="仿宋" w:eastAsia="仿宋" w:cs="仿宋"/>
          <w:color w:val="auto"/>
          <w:spacing w:val="-8"/>
          <w:sz w:val="24"/>
          <w:highlight w:val="none"/>
          <w:u w:val="single"/>
        </w:rPr>
        <w:t xml:space="preserve"> 15 </w:t>
      </w:r>
      <w:r>
        <w:rPr>
          <w:rFonts w:hint="eastAsia" w:ascii="仿宋" w:hAnsi="仿宋" w:eastAsia="仿宋" w:cs="仿宋"/>
          <w:color w:val="auto"/>
          <w:spacing w:val="-8"/>
          <w:sz w:val="24"/>
          <w:highlight w:val="none"/>
        </w:rPr>
        <w:t>天内返还承包人</w:t>
      </w:r>
      <w:r>
        <w:rPr>
          <w:rFonts w:hint="eastAsia" w:ascii="仿宋" w:hAnsi="仿宋" w:eastAsia="仿宋" w:cs="仿宋"/>
          <w:color w:val="auto"/>
          <w:sz w:val="24"/>
          <w:highlight w:val="none"/>
        </w:rPr>
        <w:t>。</w:t>
      </w:r>
    </w:p>
    <w:p>
      <w:pPr>
        <w:spacing w:line="420" w:lineRule="exact"/>
        <w:ind w:firstLine="480" w:firstLineChars="200"/>
        <w:rPr>
          <w:rFonts w:ascii="仿宋" w:hAnsi="仿宋" w:eastAsia="仿宋" w:cs="仿宋"/>
          <w:color w:val="auto"/>
          <w:sz w:val="24"/>
          <w:highlight w:val="none"/>
        </w:rPr>
      </w:pPr>
      <w:r>
        <w:rPr>
          <w:rFonts w:hint="eastAsia" w:ascii="仿宋" w:hAnsi="仿宋" w:eastAsia="仿宋" w:cs="仿宋"/>
          <w:bCs/>
          <w:color w:val="auto"/>
          <w:sz w:val="24"/>
          <w:highlight w:val="none"/>
        </w:rPr>
        <w:t>八、双方职责</w:t>
      </w:r>
    </w:p>
    <w:p>
      <w:pPr>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1、发包人按有关文件、规范明确工程施工相关任务和要求。</w:t>
      </w:r>
    </w:p>
    <w:p>
      <w:pPr>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2、发包人应按招标文件的内容或协商一致的意见提供承包人组织施工的相关条件。</w:t>
      </w:r>
    </w:p>
    <w:p>
      <w:pPr>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3、发包人应及时做好施工过程中的矛盾协调工作。</w:t>
      </w:r>
    </w:p>
    <w:p>
      <w:pPr>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4、承包人进场后施工过程中先急后缓。</w:t>
      </w:r>
    </w:p>
    <w:p>
      <w:pPr>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5、承包人向发包人承诺按照合同约定进行施工、竣工、结算，并在质量保修期内承担工程质量保修服务责任，并提供相关工程软件资料。</w:t>
      </w:r>
    </w:p>
    <w:p>
      <w:pPr>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6、工程施工期间，如承包人无正当理由终止工程施工，发包人除不结算已经施工部分的费用外，并扣罚履约保证金。由此产生的后果由承包人负责。</w:t>
      </w:r>
    </w:p>
    <w:p>
      <w:pPr>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7、承包人应积极做好矛盾的协调处理工作。</w:t>
      </w:r>
    </w:p>
    <w:p>
      <w:pPr>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8、施工过程中造成损失的由承包人负责。</w:t>
      </w:r>
    </w:p>
    <w:p>
      <w:pPr>
        <w:spacing w:line="420" w:lineRule="exact"/>
        <w:ind w:firstLine="480" w:firstLineChars="200"/>
        <w:rPr>
          <w:rFonts w:ascii="仿宋" w:hAnsi="仿宋" w:eastAsia="仿宋" w:cs="仿宋"/>
          <w:color w:val="auto"/>
          <w:sz w:val="24"/>
          <w:highlight w:val="none"/>
        </w:rPr>
      </w:pPr>
      <w:r>
        <w:rPr>
          <w:rFonts w:hint="eastAsia" w:ascii="仿宋" w:hAnsi="仿宋" w:eastAsia="仿宋" w:cs="仿宋"/>
          <w:bCs/>
          <w:color w:val="auto"/>
          <w:sz w:val="24"/>
          <w:highlight w:val="none"/>
        </w:rPr>
        <w:t>九、文明施工及工程安全</w:t>
      </w:r>
    </w:p>
    <w:p>
      <w:pPr>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承包人应认真做好文明施工，切实抓好安全工作，做好施工场地安全防护工作，严格按《建设工程安全生产管理条例》组织施工，发生安全事故由施工单位自己承担全部责任（包括变压器表计以下用电施工等一切安全事故），与甲方无关。</w:t>
      </w:r>
    </w:p>
    <w:p>
      <w:pPr>
        <w:spacing w:line="420" w:lineRule="exact"/>
        <w:ind w:firstLine="470" w:firstLineChars="196"/>
        <w:rPr>
          <w:rFonts w:ascii="仿宋" w:hAnsi="仿宋" w:eastAsia="仿宋" w:cs="仿宋"/>
          <w:bCs/>
          <w:color w:val="auto"/>
          <w:sz w:val="24"/>
          <w:highlight w:val="none"/>
        </w:rPr>
      </w:pPr>
      <w:r>
        <w:rPr>
          <w:rFonts w:hint="eastAsia" w:ascii="仿宋" w:hAnsi="仿宋" w:eastAsia="仿宋" w:cs="仿宋"/>
          <w:bCs/>
          <w:color w:val="auto"/>
          <w:sz w:val="24"/>
          <w:highlight w:val="none"/>
        </w:rPr>
        <w:t>十、本合同未涉及内容，经双方协商解决。</w:t>
      </w:r>
    </w:p>
    <w:p>
      <w:pPr>
        <w:spacing w:line="420" w:lineRule="exact"/>
        <w:ind w:firstLine="470" w:firstLineChars="196"/>
        <w:rPr>
          <w:rFonts w:ascii="仿宋" w:hAnsi="仿宋" w:eastAsia="仿宋" w:cs="仿宋"/>
          <w:color w:val="auto"/>
          <w:sz w:val="30"/>
          <w:highlight w:val="none"/>
        </w:rPr>
      </w:pPr>
      <w:r>
        <w:rPr>
          <w:rFonts w:hint="eastAsia" w:ascii="仿宋" w:hAnsi="仿宋" w:eastAsia="仿宋" w:cs="仿宋"/>
          <w:bCs/>
          <w:color w:val="auto"/>
          <w:sz w:val="24"/>
          <w:highlight w:val="none"/>
        </w:rPr>
        <w:t>十一、</w:t>
      </w:r>
      <w:r>
        <w:rPr>
          <w:rFonts w:hint="eastAsia" w:ascii="仿宋" w:hAnsi="仿宋" w:eastAsia="仿宋" w:cs="仿宋"/>
          <w:color w:val="auto"/>
          <w:sz w:val="24"/>
          <w:highlight w:val="none"/>
        </w:rPr>
        <w:t>本合同双方约定：双方法定代表人或委托代理人签字，盖法人公章并提交履约保证金后生效。</w:t>
      </w:r>
    </w:p>
    <w:p>
      <w:pPr>
        <w:spacing w:line="420" w:lineRule="exact"/>
        <w:ind w:firstLine="470" w:firstLineChars="196"/>
        <w:rPr>
          <w:rFonts w:ascii="仿宋" w:hAnsi="仿宋" w:eastAsia="仿宋" w:cs="仿宋"/>
          <w:bCs/>
          <w:color w:val="auto"/>
          <w:sz w:val="24"/>
          <w:highlight w:val="none"/>
        </w:rPr>
      </w:pPr>
      <w:r>
        <w:rPr>
          <w:rFonts w:hint="eastAsia" w:ascii="仿宋" w:hAnsi="仿宋" w:eastAsia="仿宋" w:cs="仿宋"/>
          <w:bCs/>
          <w:color w:val="auto"/>
          <w:sz w:val="24"/>
          <w:highlight w:val="none"/>
        </w:rPr>
        <w:t>十二、本合同一式伍份，双方各执一份、相关部门各一份。</w:t>
      </w:r>
    </w:p>
    <w:p>
      <w:pPr>
        <w:spacing w:line="420" w:lineRule="exact"/>
        <w:ind w:firstLine="470" w:firstLineChars="196"/>
        <w:rPr>
          <w:rFonts w:ascii="仿宋" w:hAnsi="仿宋" w:eastAsia="仿宋" w:cs="仿宋"/>
          <w:bCs/>
          <w:color w:val="auto"/>
          <w:sz w:val="24"/>
          <w:highlight w:val="none"/>
        </w:rPr>
      </w:pPr>
      <w:r>
        <w:rPr>
          <w:rFonts w:hint="eastAsia" w:ascii="仿宋" w:hAnsi="仿宋" w:eastAsia="仿宋" w:cs="仿宋"/>
          <w:bCs/>
          <w:color w:val="auto"/>
          <w:sz w:val="24"/>
          <w:highlight w:val="none"/>
        </w:rPr>
        <w:t>发包人（公章）：                      承包人（签字）：</w:t>
      </w:r>
    </w:p>
    <w:p>
      <w:pPr>
        <w:spacing w:line="420" w:lineRule="exact"/>
        <w:ind w:firstLine="470" w:firstLineChars="196"/>
        <w:rPr>
          <w:rFonts w:ascii="仿宋" w:hAnsi="仿宋" w:eastAsia="仿宋" w:cs="仿宋"/>
          <w:bCs/>
          <w:color w:val="auto"/>
          <w:sz w:val="24"/>
          <w:highlight w:val="none"/>
        </w:rPr>
      </w:pPr>
      <w:r>
        <w:rPr>
          <w:rFonts w:hint="eastAsia" w:ascii="仿宋" w:hAnsi="仿宋" w:eastAsia="仿宋" w:cs="仿宋"/>
          <w:bCs/>
          <w:color w:val="auto"/>
          <w:sz w:val="24"/>
          <w:highlight w:val="none"/>
        </w:rPr>
        <w:t xml:space="preserve">法定代表人（签字）：                  </w:t>
      </w:r>
    </w:p>
    <w:p>
      <w:pPr>
        <w:spacing w:line="420" w:lineRule="exact"/>
        <w:ind w:firstLine="470" w:firstLineChars="196"/>
        <w:rPr>
          <w:rFonts w:ascii="仿宋" w:hAnsi="仿宋" w:eastAsia="仿宋" w:cs="仿宋"/>
          <w:bCs/>
          <w:color w:val="auto"/>
          <w:sz w:val="24"/>
          <w:highlight w:val="none"/>
        </w:rPr>
      </w:pPr>
      <w:r>
        <w:rPr>
          <w:rFonts w:hint="eastAsia" w:ascii="仿宋" w:hAnsi="仿宋" w:eastAsia="仿宋" w:cs="仿宋"/>
          <w:bCs/>
          <w:color w:val="auto"/>
          <w:sz w:val="24"/>
          <w:highlight w:val="none"/>
        </w:rPr>
        <w:t xml:space="preserve">（或委托代理人）                      </w:t>
      </w:r>
    </w:p>
    <w:p>
      <w:pPr>
        <w:spacing w:line="420" w:lineRule="exact"/>
        <w:rPr>
          <w:rFonts w:ascii="仿宋" w:hAnsi="仿宋" w:eastAsia="仿宋" w:cs="仿宋"/>
          <w:color w:val="auto"/>
          <w:highlight w:val="none"/>
        </w:rPr>
      </w:pPr>
      <w:r>
        <w:rPr>
          <w:rFonts w:hint="eastAsia" w:ascii="仿宋" w:hAnsi="仿宋" w:eastAsia="仿宋" w:cs="仿宋"/>
          <w:bCs/>
          <w:color w:val="auto"/>
          <w:sz w:val="24"/>
          <w:highlight w:val="none"/>
        </w:rPr>
        <w:t xml:space="preserve">        年   月   日年   月   日</w:t>
      </w:r>
    </w:p>
    <w:p>
      <w:pPr>
        <w:spacing w:line="360" w:lineRule="exact"/>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甲方保留对合同文本的修改和完善的权利。</w:t>
      </w:r>
    </w:p>
    <w:p>
      <w:pPr>
        <w:widowControl/>
        <w:spacing w:line="360" w:lineRule="auto"/>
        <w:ind w:firstLine="640" w:firstLineChars="200"/>
        <w:rPr>
          <w:rFonts w:ascii="仿宋" w:hAnsi="仿宋" w:eastAsia="仿宋" w:cs="Times New Roman"/>
          <w:color w:val="auto"/>
          <w:kern w:val="0"/>
          <w:sz w:val="24"/>
          <w:szCs w:val="24"/>
          <w:highlight w:val="none"/>
        </w:rPr>
      </w:pPr>
      <w:r>
        <w:rPr>
          <w:rFonts w:ascii="黑体" w:hAnsi="黑体" w:eastAsia="黑体"/>
          <w:color w:val="auto"/>
          <w:sz w:val="32"/>
          <w:highlight w:val="none"/>
        </w:rPr>
        <w:br w:type="page"/>
      </w:r>
    </w:p>
    <w:p>
      <w:pPr>
        <w:widowControl/>
        <w:jc w:val="center"/>
        <w:rPr>
          <w:rFonts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第四章    项目需求</w:t>
      </w:r>
      <w:bookmarkStart w:id="132" w:name="_Toc438651176"/>
    </w:p>
    <w:p>
      <w:pPr>
        <w:ind w:left="-424" w:leftChars="-202"/>
        <w:rPr>
          <w:rFonts w:ascii="仿宋" w:hAnsi="仿宋" w:eastAsia="仿宋"/>
          <w:color w:val="auto"/>
          <w:szCs w:val="21"/>
          <w:highlight w:val="none"/>
        </w:rPr>
      </w:pPr>
    </w:p>
    <w:p>
      <w:pPr>
        <w:spacing w:line="360" w:lineRule="auto"/>
        <w:ind w:firstLine="386" w:firstLineChars="160"/>
        <w:rPr>
          <w:rFonts w:ascii="仿宋" w:hAnsi="仿宋" w:eastAsia="仿宋" w:cs="仿宋"/>
          <w:b/>
          <w:bCs/>
          <w:color w:val="auto"/>
          <w:sz w:val="24"/>
          <w:szCs w:val="20"/>
          <w:highlight w:val="none"/>
        </w:rPr>
      </w:pPr>
      <w:bookmarkStart w:id="133" w:name="_Toc362528491"/>
      <w:bookmarkStart w:id="134" w:name="_Toc292026109"/>
      <w:r>
        <w:rPr>
          <w:rFonts w:hint="eastAsia" w:ascii="仿宋" w:hAnsi="仿宋" w:eastAsia="仿宋" w:cs="仿宋"/>
          <w:b/>
          <w:bCs/>
          <w:color w:val="auto"/>
          <w:sz w:val="24"/>
          <w:szCs w:val="20"/>
          <w:highlight w:val="none"/>
        </w:rPr>
        <w:t>一、</w:t>
      </w:r>
      <w:bookmarkEnd w:id="133"/>
      <w:bookmarkEnd w:id="134"/>
      <w:bookmarkStart w:id="135" w:name="_Toc362528492"/>
      <w:bookmarkStart w:id="136" w:name="_Toc292026110"/>
      <w:r>
        <w:rPr>
          <w:rFonts w:hint="eastAsia" w:ascii="仿宋" w:hAnsi="仿宋" w:eastAsia="仿宋" w:cs="仿宋"/>
          <w:b/>
          <w:bCs/>
          <w:color w:val="auto"/>
          <w:sz w:val="24"/>
          <w:szCs w:val="20"/>
          <w:highlight w:val="none"/>
        </w:rPr>
        <w:t>本工程采用的技术规范</w:t>
      </w:r>
      <w:bookmarkEnd w:id="135"/>
      <w:bookmarkEnd w:id="136"/>
    </w:p>
    <w:p>
      <w:pPr>
        <w:spacing w:line="48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相关施工、验收规范、标准。</w:t>
      </w:r>
      <w:bookmarkStart w:id="137" w:name="_Toc292026111"/>
      <w:bookmarkStart w:id="138" w:name="_Toc362528493"/>
    </w:p>
    <w:p>
      <w:pPr>
        <w:spacing w:line="480" w:lineRule="exact"/>
        <w:ind w:firstLine="240" w:firstLineChars="100"/>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 xml:space="preserve"> 二、本工程对施工工艺的特殊要求</w:t>
      </w:r>
      <w:bookmarkEnd w:id="137"/>
      <w:bookmarkEnd w:id="138"/>
    </w:p>
    <w:p>
      <w:pPr>
        <w:numPr>
          <w:ilvl w:val="0"/>
          <w:numId w:val="2"/>
        </w:numPr>
        <w:spacing w:line="400" w:lineRule="atLeas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施工期间注意周边环境，减少对周围居民、行人的影响（交通、灰尘、噪音等）。</w:t>
      </w:r>
    </w:p>
    <w:p>
      <w:pPr>
        <w:spacing w:line="400" w:lineRule="atLeast"/>
        <w:ind w:firstLine="480" w:firstLineChars="200"/>
        <w:rPr>
          <w:rFonts w:ascii="仿宋" w:hAnsi="仿宋" w:eastAsia="仿宋" w:cs="仿宋"/>
          <w:b/>
          <w:bCs/>
          <w:color w:val="auto"/>
          <w:sz w:val="32"/>
          <w:highlight w:val="none"/>
        </w:rPr>
      </w:pPr>
      <w:r>
        <w:rPr>
          <w:rFonts w:hint="eastAsia" w:ascii="仿宋" w:hAnsi="仿宋" w:eastAsia="仿宋" w:cs="仿宋"/>
          <w:color w:val="auto"/>
          <w:sz w:val="24"/>
          <w:highlight w:val="none"/>
          <w:u w:val="single"/>
        </w:rPr>
        <w:t>2.工程主要部位和特殊要求由建设单位讨论后以书面开式通知施工单位实施。</w:t>
      </w:r>
    </w:p>
    <w:p>
      <w:pPr>
        <w:spacing w:line="400" w:lineRule="atLeast"/>
        <w:ind w:firstLine="480" w:firstLineChars="200"/>
        <w:rPr>
          <w:color w:val="auto"/>
          <w:highlight w:val="none"/>
        </w:rPr>
      </w:pPr>
      <w:r>
        <w:rPr>
          <w:rFonts w:hint="eastAsia" w:ascii="仿宋" w:hAnsi="仿宋" w:eastAsia="仿宋" w:cs="仿宋"/>
          <w:color w:val="auto"/>
          <w:sz w:val="24"/>
          <w:highlight w:val="none"/>
          <w:u w:val="single"/>
        </w:rPr>
        <w:t>3.其他。</w:t>
      </w:r>
    </w:p>
    <w:p>
      <w:pPr>
        <w:pStyle w:val="2"/>
        <w:numPr>
          <w:ilvl w:val="0"/>
          <w:numId w:val="3"/>
        </w:numPr>
        <w:ind w:firstLine="560"/>
        <w:rPr>
          <w:rFonts w:ascii="仿宋" w:hAnsi="仿宋" w:eastAsia="仿宋" w:cs="仿宋"/>
          <w:color w:val="auto"/>
          <w:highlight w:val="none"/>
        </w:rPr>
      </w:pPr>
      <w:r>
        <w:rPr>
          <w:rFonts w:hint="eastAsia" w:ascii="仿宋" w:hAnsi="仿宋" w:eastAsia="仿宋" w:cs="仿宋"/>
          <w:color w:val="auto"/>
          <w:sz w:val="24"/>
          <w:szCs w:val="21"/>
          <w:highlight w:val="none"/>
        </w:rPr>
        <w:t xml:space="preserve"> </w:t>
      </w:r>
      <w:r>
        <w:rPr>
          <w:rFonts w:hint="eastAsia" w:ascii="仿宋" w:hAnsi="仿宋" w:eastAsia="仿宋" w:cs="仿宋"/>
          <w:color w:val="auto"/>
          <w:sz w:val="24"/>
          <w:szCs w:val="21"/>
          <w:highlight w:val="none"/>
          <w:lang w:eastAsia="zh-CN"/>
        </w:rPr>
        <w:t>项目</w:t>
      </w:r>
      <w:r>
        <w:rPr>
          <w:rFonts w:hint="eastAsia" w:ascii="仿宋" w:hAnsi="仿宋" w:eastAsia="仿宋" w:cs="仿宋"/>
          <w:color w:val="auto"/>
          <w:sz w:val="24"/>
          <w:szCs w:val="21"/>
          <w:highlight w:val="none"/>
        </w:rPr>
        <w:t>清单</w:t>
      </w:r>
    </w:p>
    <w:tbl>
      <w:tblPr>
        <w:tblStyle w:val="39"/>
        <w:tblW w:w="9967"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5"/>
        <w:gridCol w:w="1069"/>
        <w:gridCol w:w="983"/>
        <w:gridCol w:w="11"/>
        <w:gridCol w:w="870"/>
        <w:gridCol w:w="673"/>
        <w:gridCol w:w="57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序号</w:t>
            </w: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工程项目</w:t>
            </w:r>
          </w:p>
        </w:tc>
        <w:tc>
          <w:tcPr>
            <w:tcW w:w="88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单位</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工程量</w:t>
            </w:r>
          </w:p>
        </w:tc>
        <w:tc>
          <w:tcPr>
            <w:tcW w:w="5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材料及工艺做法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移苗</w:t>
            </w:r>
          </w:p>
        </w:tc>
        <w:tc>
          <w:tcPr>
            <w:tcW w:w="8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微软雅黑" w:hAnsi="微软雅黑" w:eastAsia="微软雅黑" w:cs="微软雅黑"/>
                <w:i w:val="0"/>
                <w:iCs w:val="0"/>
                <w:color w:val="auto"/>
                <w:sz w:val="18"/>
                <w:szCs w:val="18"/>
                <w:highlight w:val="none"/>
                <w:u w:val="none"/>
              </w:rPr>
            </w:pPr>
            <w:r>
              <w:rPr>
                <w:rFonts w:hint="eastAsia" w:ascii="微软雅黑" w:hAnsi="微软雅黑" w:eastAsia="微软雅黑" w:cs="微软雅黑"/>
                <w:i w:val="0"/>
                <w:iCs w:val="0"/>
                <w:color w:val="auto"/>
                <w:kern w:val="0"/>
                <w:sz w:val="18"/>
                <w:szCs w:val="18"/>
                <w:highlight w:val="none"/>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210</w:t>
            </w:r>
          </w:p>
        </w:tc>
        <w:tc>
          <w:tcPr>
            <w:tcW w:w="5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36000*6000；将车棚区域绿化苗木移栽至其它区域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开挖、压实、外运</w:t>
            </w:r>
          </w:p>
        </w:tc>
        <w:tc>
          <w:tcPr>
            <w:tcW w:w="8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m³</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43.2</w:t>
            </w:r>
          </w:p>
        </w:tc>
        <w:tc>
          <w:tcPr>
            <w:tcW w:w="5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36000*6000*200；开挖、外运自行弃土、压实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15" w:type="dxa"/>
            <w:vMerge w:val="restart"/>
            <w:tcBorders>
              <w:left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3</w:t>
            </w:r>
          </w:p>
        </w:tc>
        <w:tc>
          <w:tcPr>
            <w:tcW w:w="1069" w:type="dxa"/>
            <w:vMerge w:val="restart"/>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 xml:space="preserve"> </w:t>
            </w:r>
            <w:r>
              <w:rPr>
                <w:rFonts w:hint="eastAsia" w:ascii="宋体" w:hAnsi="宋体" w:eastAsia="宋体" w:cs="宋体"/>
                <w:i w:val="0"/>
                <w:iCs w:val="0"/>
                <w:color w:val="auto"/>
                <w:kern w:val="0"/>
                <w:sz w:val="18"/>
                <w:szCs w:val="18"/>
                <w:highlight w:val="none"/>
                <w:u w:val="none"/>
                <w:lang w:val="en-US" w:eastAsia="zh-CN" w:bidi="ar"/>
              </w:rPr>
              <w:t>立柱承台</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500*500*800（7组）</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开挖、外运</w:t>
            </w:r>
          </w:p>
        </w:tc>
        <w:tc>
          <w:tcPr>
            <w:tcW w:w="8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组</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w:t>
            </w:r>
          </w:p>
        </w:tc>
        <w:tc>
          <w:tcPr>
            <w:tcW w:w="5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开挖、外运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15" w:type="dxa"/>
            <w:vMerge w:val="continue"/>
            <w:tcBorders>
              <w:left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highlight w:val="none"/>
                <w:u w:val="none"/>
              </w:rPr>
            </w:pPr>
          </w:p>
        </w:tc>
        <w:tc>
          <w:tcPr>
            <w:tcW w:w="1069"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钢筋笼、化学锚栓</w:t>
            </w:r>
          </w:p>
        </w:tc>
        <w:tc>
          <w:tcPr>
            <w:tcW w:w="8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组</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w:t>
            </w:r>
          </w:p>
        </w:tc>
        <w:tc>
          <w:tcPr>
            <w:tcW w:w="5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φ</w:t>
            </w:r>
            <w:r>
              <w:rPr>
                <w:rFonts w:hint="eastAsia" w:ascii="宋体" w:hAnsi="宋体" w:eastAsia="宋体" w:cs="宋体"/>
                <w:i w:val="0"/>
                <w:iCs w:val="0"/>
                <w:color w:val="auto"/>
                <w:kern w:val="0"/>
                <w:sz w:val="18"/>
                <w:szCs w:val="18"/>
                <w:highlight w:val="none"/>
                <w:u w:val="none"/>
                <w:lang w:val="en-US" w:eastAsia="zh-CN" w:bidi="ar"/>
              </w:rPr>
              <w:t>20螺纹钢、化学锚栓（</w:t>
            </w:r>
            <w:r>
              <w:rPr>
                <w:rFonts w:hint="eastAsia" w:ascii="仿宋" w:hAnsi="仿宋" w:eastAsia="仿宋" w:cs="仿宋"/>
                <w:i w:val="0"/>
                <w:iCs w:val="0"/>
                <w:color w:val="auto"/>
                <w:kern w:val="0"/>
                <w:sz w:val="18"/>
                <w:szCs w:val="18"/>
                <w:highlight w:val="none"/>
                <w:u w:val="none"/>
                <w:lang w:val="en-US" w:eastAsia="zh-CN" w:bidi="ar"/>
              </w:rPr>
              <w:t>M22*66)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15" w:type="dxa"/>
            <w:vMerge w:val="continue"/>
            <w:tcBorders>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highlight w:val="none"/>
                <w:u w:val="none"/>
              </w:rPr>
            </w:pPr>
          </w:p>
        </w:tc>
        <w:tc>
          <w:tcPr>
            <w:tcW w:w="1069"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混凝土浇筑</w:t>
            </w:r>
          </w:p>
        </w:tc>
        <w:tc>
          <w:tcPr>
            <w:tcW w:w="8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m³</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w:t>
            </w:r>
          </w:p>
        </w:tc>
        <w:tc>
          <w:tcPr>
            <w:tcW w:w="5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仿宋" w:hAnsi="仿宋" w:eastAsia="仿宋" w:cs="仿宋"/>
                <w:i w:val="0"/>
                <w:iCs w:val="0"/>
                <w:color w:val="auto"/>
                <w:sz w:val="18"/>
                <w:szCs w:val="18"/>
                <w:highlight w:val="none"/>
                <w:u w:val="none"/>
                <w:lang w:val="en-US"/>
              </w:rPr>
            </w:pPr>
            <w:r>
              <w:rPr>
                <w:rFonts w:hint="eastAsia" w:ascii="仿宋" w:hAnsi="仿宋" w:eastAsia="仿宋" w:cs="仿宋"/>
                <w:i w:val="0"/>
                <w:iCs w:val="0"/>
                <w:color w:val="auto"/>
                <w:kern w:val="0"/>
                <w:sz w:val="18"/>
                <w:szCs w:val="18"/>
                <w:highlight w:val="none"/>
                <w:u w:val="none"/>
                <w:lang w:val="en-US" w:eastAsia="zh-CN" w:bidi="ar"/>
              </w:rPr>
              <w:t xml:space="preserve">c30混凝土浇筑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砖屑、碎石层</w:t>
            </w:r>
          </w:p>
        </w:tc>
        <w:tc>
          <w:tcPr>
            <w:tcW w:w="8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项</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100厚砖屑、碎石压实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垫层</w:t>
            </w:r>
          </w:p>
        </w:tc>
        <w:tc>
          <w:tcPr>
            <w:tcW w:w="8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m</w:t>
            </w:r>
            <w:r>
              <w:rPr>
                <w:rFonts w:hint="eastAsia" w:ascii="微软雅黑" w:hAnsi="微软雅黑" w:eastAsia="微软雅黑" w:cs="微软雅黑"/>
                <w:i w:val="0"/>
                <w:iCs w:val="0"/>
                <w:color w:val="auto"/>
                <w:kern w:val="0"/>
                <w:sz w:val="18"/>
                <w:szCs w:val="18"/>
                <w:highlight w:val="none"/>
                <w:u w:val="none"/>
                <w:lang w:val="en-US" w:eastAsia="zh-CN" w:bidi="ar"/>
              </w:rPr>
              <w:t>³</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6.48</w:t>
            </w:r>
          </w:p>
        </w:tc>
        <w:tc>
          <w:tcPr>
            <w:tcW w:w="5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36000* 6000*30；C15商砼、含人工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场地浇注</w:t>
            </w:r>
          </w:p>
        </w:tc>
        <w:tc>
          <w:tcPr>
            <w:tcW w:w="8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m³</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15.12</w:t>
            </w:r>
          </w:p>
        </w:tc>
        <w:tc>
          <w:tcPr>
            <w:tcW w:w="5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36000* 6000*70；C30商砼、含人工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15" w:type="dxa"/>
            <w:vMerge w:val="restart"/>
            <w:tcBorders>
              <w:top w:val="single" w:color="000000" w:sz="4" w:space="0"/>
              <w:left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7</w:t>
            </w:r>
          </w:p>
        </w:tc>
        <w:tc>
          <w:tcPr>
            <w:tcW w:w="1069"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张拉膜车棚（36000*5500）</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矩形管</w:t>
            </w:r>
          </w:p>
        </w:tc>
        <w:tc>
          <w:tcPr>
            <w:tcW w:w="8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支</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w:t>
            </w:r>
          </w:p>
        </w:tc>
        <w:tc>
          <w:tcPr>
            <w:tcW w:w="5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200*100*3（6m/支）；含制作费；防锈底漆、面漆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15" w:type="dxa"/>
            <w:vMerge w:val="continue"/>
            <w:tcBorders>
              <w:left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highlight w:val="none"/>
                <w:u w:val="none"/>
              </w:rPr>
            </w:pPr>
          </w:p>
        </w:tc>
        <w:tc>
          <w:tcPr>
            <w:tcW w:w="1069"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圆管</w:t>
            </w:r>
          </w:p>
        </w:tc>
        <w:tc>
          <w:tcPr>
            <w:tcW w:w="8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支</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5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φ114*4（6m/支）；含制作费；防锈底漆、面漆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15" w:type="dxa"/>
            <w:vMerge w:val="continue"/>
            <w:tcBorders>
              <w:left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highlight w:val="none"/>
                <w:u w:val="none"/>
              </w:rPr>
            </w:pPr>
          </w:p>
        </w:tc>
        <w:tc>
          <w:tcPr>
            <w:tcW w:w="1069"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圆管</w:t>
            </w:r>
          </w:p>
        </w:tc>
        <w:tc>
          <w:tcPr>
            <w:tcW w:w="8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支</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12</w:t>
            </w:r>
          </w:p>
        </w:tc>
        <w:tc>
          <w:tcPr>
            <w:tcW w:w="5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Ф89*3（6m/支）；含制作费；防锈底漆、面漆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15" w:type="dxa"/>
            <w:vMerge w:val="continue"/>
            <w:tcBorders>
              <w:left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highlight w:val="none"/>
                <w:u w:val="none"/>
              </w:rPr>
            </w:pPr>
          </w:p>
        </w:tc>
        <w:tc>
          <w:tcPr>
            <w:tcW w:w="1069"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H钢</w:t>
            </w:r>
          </w:p>
        </w:tc>
        <w:tc>
          <w:tcPr>
            <w:tcW w:w="8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支</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5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300*150（6m/支）；含制作费；防锈底漆、面漆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15" w:type="dxa"/>
            <w:vMerge w:val="continue"/>
            <w:tcBorders>
              <w:left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highlight w:val="none"/>
                <w:u w:val="none"/>
              </w:rPr>
            </w:pPr>
          </w:p>
        </w:tc>
        <w:tc>
          <w:tcPr>
            <w:tcW w:w="1069"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不锈钢排水沟</w:t>
            </w:r>
          </w:p>
        </w:tc>
        <w:tc>
          <w:tcPr>
            <w:tcW w:w="8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m</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38</w:t>
            </w:r>
          </w:p>
        </w:tc>
        <w:tc>
          <w:tcPr>
            <w:tcW w:w="5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304（3.0）制作、安装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15" w:type="dxa"/>
            <w:vMerge w:val="continue"/>
            <w:tcBorders>
              <w:left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highlight w:val="none"/>
                <w:u w:val="none"/>
              </w:rPr>
            </w:pPr>
          </w:p>
        </w:tc>
        <w:tc>
          <w:tcPr>
            <w:tcW w:w="1069"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预埋板</w:t>
            </w:r>
          </w:p>
        </w:tc>
        <w:tc>
          <w:tcPr>
            <w:tcW w:w="8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套</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w:t>
            </w:r>
          </w:p>
        </w:tc>
        <w:tc>
          <w:tcPr>
            <w:tcW w:w="5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230*540*20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15" w:type="dxa"/>
            <w:vMerge w:val="continue"/>
            <w:tcBorders>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highlight w:val="none"/>
                <w:u w:val="none"/>
              </w:rPr>
            </w:pPr>
          </w:p>
        </w:tc>
        <w:tc>
          <w:tcPr>
            <w:tcW w:w="1069"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膜布</w:t>
            </w:r>
          </w:p>
        </w:tc>
        <w:tc>
          <w:tcPr>
            <w:tcW w:w="8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highlight w:val="none"/>
                <w:u w:val="none"/>
              </w:rPr>
            </w:pPr>
            <w:r>
              <w:rPr>
                <w:rFonts w:hint="eastAsia" w:ascii="微软雅黑" w:hAnsi="微软雅黑" w:eastAsia="微软雅黑" w:cs="微软雅黑"/>
                <w:i w:val="0"/>
                <w:iCs w:val="0"/>
                <w:color w:val="auto"/>
                <w:kern w:val="0"/>
                <w:sz w:val="18"/>
                <w:szCs w:val="18"/>
                <w:highlight w:val="none"/>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237.6</w:t>
            </w:r>
          </w:p>
        </w:tc>
        <w:tc>
          <w:tcPr>
            <w:tcW w:w="5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36000*3300*2（1100g)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w:t>
            </w: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线路</w:t>
            </w:r>
          </w:p>
        </w:tc>
        <w:tc>
          <w:tcPr>
            <w:tcW w:w="8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m</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240</w:t>
            </w:r>
          </w:p>
        </w:tc>
        <w:tc>
          <w:tcPr>
            <w:tcW w:w="5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3*10电缆（四路）、含破路接线、线管、人工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w:t>
            </w: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充电线方管</w:t>
            </w:r>
          </w:p>
        </w:tc>
        <w:tc>
          <w:tcPr>
            <w:tcW w:w="88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auto"/>
                <w:sz w:val="16"/>
                <w:szCs w:val="16"/>
                <w:highlight w:val="none"/>
                <w:u w:val="none"/>
              </w:rPr>
            </w:pPr>
            <w:r>
              <w:rPr>
                <w:rFonts w:ascii="宋体" w:hAnsi="宋体" w:eastAsia="宋体" w:cs="宋体"/>
                <w:i w:val="0"/>
                <w:iCs w:val="0"/>
                <w:color w:val="auto"/>
                <w:kern w:val="0"/>
                <w:sz w:val="16"/>
                <w:szCs w:val="16"/>
                <w:highlight w:val="none"/>
                <w:u w:val="none"/>
                <w:lang w:val="en-US" w:eastAsia="zh-CN" w:bidi="ar"/>
              </w:rPr>
              <w:t>m</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36</w:t>
            </w:r>
          </w:p>
        </w:tc>
        <w:tc>
          <w:tcPr>
            <w:tcW w:w="5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方管、开孔、安装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智能充电桩</w:t>
            </w:r>
          </w:p>
        </w:tc>
        <w:tc>
          <w:tcPr>
            <w:tcW w:w="88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auto"/>
                <w:sz w:val="16"/>
                <w:szCs w:val="16"/>
                <w:highlight w:val="none"/>
                <w:u w:val="none"/>
              </w:rPr>
            </w:pPr>
            <w:r>
              <w:rPr>
                <w:rFonts w:ascii="宋体" w:hAnsi="宋体" w:eastAsia="宋体" w:cs="宋体"/>
                <w:i w:val="0"/>
                <w:iCs w:val="0"/>
                <w:color w:val="auto"/>
                <w:kern w:val="0"/>
                <w:sz w:val="16"/>
                <w:szCs w:val="16"/>
                <w:highlight w:val="none"/>
                <w:u w:val="none"/>
                <w:lang w:val="en-US" w:eastAsia="zh-CN" w:bidi="ar"/>
              </w:rPr>
              <w:t>套</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12</w:t>
            </w:r>
          </w:p>
        </w:tc>
        <w:tc>
          <w:tcPr>
            <w:tcW w:w="5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1-10路充电桩；含电线、五孔</w:t>
            </w:r>
            <w:bookmarkStart w:id="144" w:name="_GoBack"/>
            <w:bookmarkEnd w:id="144"/>
            <w:r>
              <w:rPr>
                <w:rFonts w:hint="eastAsia" w:ascii="宋体" w:hAnsi="宋体" w:eastAsia="宋体" w:cs="宋体"/>
                <w:i w:val="0"/>
                <w:iCs w:val="0"/>
                <w:color w:val="auto"/>
                <w:kern w:val="0"/>
                <w:sz w:val="18"/>
                <w:szCs w:val="18"/>
                <w:highlight w:val="none"/>
                <w:u w:val="none"/>
                <w:lang w:val="en-US" w:eastAsia="zh-CN" w:bidi="ar"/>
              </w:rPr>
              <w:t>插座并负责线路插座安装，智能控制插座通电与断电。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w:t>
            </w: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停车位支架</w:t>
            </w:r>
          </w:p>
        </w:tc>
        <w:tc>
          <w:tcPr>
            <w:tcW w:w="88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auto"/>
                <w:sz w:val="16"/>
                <w:szCs w:val="16"/>
                <w:highlight w:val="none"/>
                <w:u w:val="none"/>
              </w:rPr>
            </w:pPr>
            <w:r>
              <w:rPr>
                <w:rFonts w:ascii="宋体" w:hAnsi="宋体" w:eastAsia="宋体" w:cs="宋体"/>
                <w:i w:val="0"/>
                <w:iCs w:val="0"/>
                <w:color w:val="auto"/>
                <w:kern w:val="0"/>
                <w:sz w:val="16"/>
                <w:szCs w:val="16"/>
                <w:highlight w:val="none"/>
                <w:u w:val="none"/>
                <w:lang w:val="en-US" w:eastAsia="zh-CN" w:bidi="ar"/>
              </w:rPr>
              <w:t>组</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36</w:t>
            </w:r>
          </w:p>
        </w:tc>
        <w:tc>
          <w:tcPr>
            <w:tcW w:w="5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2米3车位;含配件、安装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w:t>
            </w: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led 照明灯</w:t>
            </w:r>
          </w:p>
        </w:tc>
        <w:tc>
          <w:tcPr>
            <w:tcW w:w="88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auto"/>
                <w:sz w:val="16"/>
                <w:szCs w:val="16"/>
                <w:highlight w:val="none"/>
                <w:u w:val="none"/>
              </w:rPr>
            </w:pPr>
            <w:r>
              <w:rPr>
                <w:rFonts w:ascii="宋体" w:hAnsi="宋体" w:eastAsia="宋体" w:cs="宋体"/>
                <w:i w:val="0"/>
                <w:iCs w:val="0"/>
                <w:color w:val="auto"/>
                <w:kern w:val="0"/>
                <w:sz w:val="16"/>
                <w:szCs w:val="16"/>
                <w:highlight w:val="none"/>
                <w:u w:val="none"/>
                <w:lang w:val="en-US" w:eastAsia="zh-CN" w:bidi="ar"/>
              </w:rPr>
              <w:t>组</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12</w:t>
            </w:r>
          </w:p>
        </w:tc>
        <w:tc>
          <w:tcPr>
            <w:tcW w:w="5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led照明灯、线路、安装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w:t>
            </w: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下水管道</w:t>
            </w:r>
          </w:p>
        </w:tc>
        <w:tc>
          <w:tcPr>
            <w:tcW w:w="88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auto"/>
                <w:sz w:val="16"/>
                <w:szCs w:val="16"/>
                <w:highlight w:val="none"/>
                <w:u w:val="none"/>
              </w:rPr>
            </w:pPr>
            <w:r>
              <w:rPr>
                <w:rFonts w:ascii="宋体" w:hAnsi="宋体" w:eastAsia="宋体" w:cs="宋体"/>
                <w:i w:val="0"/>
                <w:iCs w:val="0"/>
                <w:color w:val="auto"/>
                <w:kern w:val="0"/>
                <w:sz w:val="16"/>
                <w:szCs w:val="16"/>
                <w:highlight w:val="none"/>
                <w:u w:val="none"/>
                <w:lang w:val="en-US" w:eastAsia="zh-CN" w:bidi="ar"/>
              </w:rPr>
              <w:t>m</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60</w:t>
            </w:r>
          </w:p>
        </w:tc>
        <w:tc>
          <w:tcPr>
            <w:tcW w:w="5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Ф160排水管，开挖、铺设、垫层、中沙包盖，连接至雨水管网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w:t>
            </w: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直接费用</w:t>
            </w:r>
          </w:p>
        </w:tc>
        <w:tc>
          <w:tcPr>
            <w:tcW w:w="88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6"/>
                <w:szCs w:val="16"/>
                <w:highlight w:val="none"/>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16"/>
                <w:szCs w:val="16"/>
                <w:highlight w:val="none"/>
                <w:u w:val="none"/>
              </w:rPr>
            </w:pPr>
          </w:p>
        </w:tc>
        <w:tc>
          <w:tcPr>
            <w:tcW w:w="5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w:t>
            </w: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税率*9%</w:t>
            </w:r>
          </w:p>
        </w:tc>
        <w:tc>
          <w:tcPr>
            <w:tcW w:w="88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6"/>
                <w:szCs w:val="16"/>
                <w:highlight w:val="none"/>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16"/>
                <w:szCs w:val="16"/>
                <w:highlight w:val="none"/>
                <w:u w:val="none"/>
              </w:rPr>
            </w:pPr>
          </w:p>
        </w:tc>
        <w:tc>
          <w:tcPr>
            <w:tcW w:w="5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w:t>
            </w: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项目总价</w:t>
            </w:r>
          </w:p>
        </w:tc>
        <w:tc>
          <w:tcPr>
            <w:tcW w:w="88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8"/>
                <w:szCs w:val="28"/>
                <w:highlight w:val="none"/>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5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3" w:hRule="atLeast"/>
        </w:trPr>
        <w:tc>
          <w:tcPr>
            <w:tcW w:w="2678" w:type="dxa"/>
            <w:gridSpan w:val="4"/>
            <w:tcBorders>
              <w:top w:val="single" w:color="000000" w:sz="4" w:space="0"/>
              <w:left w:val="single" w:color="000000" w:sz="4" w:space="0"/>
              <w:bottom w:val="single" w:color="000000" w:sz="4" w:space="0"/>
              <w:right w:val="single" w:color="auto" w:sz="4" w:space="0"/>
            </w:tcBorders>
            <w:shd w:val="clear" w:color="auto" w:fill="auto"/>
            <w:vAlign w:val="center"/>
          </w:tcPr>
          <w:p>
            <w:pPr>
              <w:jc w:val="left"/>
              <w:rPr>
                <w:rFonts w:hint="default"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参考图片：</w:t>
            </w:r>
          </w:p>
        </w:tc>
        <w:tc>
          <w:tcPr>
            <w:tcW w:w="7289" w:type="dxa"/>
            <w:gridSpan w:val="3"/>
            <w:tcBorders>
              <w:top w:val="single" w:color="000000" w:sz="4" w:space="0"/>
              <w:left w:val="single" w:color="auto" w:sz="4" w:space="0"/>
              <w:bottom w:val="single" w:color="000000" w:sz="4" w:space="0"/>
              <w:right w:val="single" w:color="000000" w:sz="4" w:space="0"/>
            </w:tcBorders>
            <w:shd w:val="clear" w:color="auto" w:fill="auto"/>
            <w:vAlign w:val="center"/>
          </w:tcPr>
          <w:p>
            <w:pPr>
              <w:jc w:val="lef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drawing>
                <wp:anchor distT="0" distB="0" distL="114300" distR="114300" simplePos="0" relativeHeight="251659264" behindDoc="0" locked="0" layoutInCell="1" allowOverlap="1">
                  <wp:simplePos x="0" y="0"/>
                  <wp:positionH relativeFrom="column">
                    <wp:posOffset>477520</wp:posOffset>
                  </wp:positionH>
                  <wp:positionV relativeFrom="paragraph">
                    <wp:posOffset>114300</wp:posOffset>
                  </wp:positionV>
                  <wp:extent cx="1519555" cy="931545"/>
                  <wp:effectExtent l="0" t="0" r="4445" b="8255"/>
                  <wp:wrapTopAndBottom/>
                  <wp:docPr id="4" name="图片 4" descr="e13385de0412ae0a2a29e49eef12d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e13385de0412ae0a2a29e49eef12d73"/>
                          <pic:cNvPicPr>
                            <a:picLocks noChangeAspect="1"/>
                          </pic:cNvPicPr>
                        </pic:nvPicPr>
                        <pic:blipFill>
                          <a:blip r:embed="rId13"/>
                          <a:stretch>
                            <a:fillRect/>
                          </a:stretch>
                        </pic:blipFill>
                        <pic:spPr>
                          <a:xfrm>
                            <a:off x="0" y="0"/>
                            <a:ext cx="1519555" cy="931545"/>
                          </a:xfrm>
                          <a:prstGeom prst="rect">
                            <a:avLst/>
                          </a:prstGeom>
                        </pic:spPr>
                      </pic:pic>
                    </a:graphicData>
                  </a:graphic>
                </wp:anchor>
              </w:drawing>
            </w:r>
          </w:p>
        </w:tc>
      </w:tr>
    </w:tbl>
    <w:p>
      <w:pPr>
        <w:pStyle w:val="2"/>
        <w:numPr>
          <w:ilvl w:val="0"/>
          <w:numId w:val="3"/>
        </w:numPr>
        <w:ind w:firstLine="560"/>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kern w:val="2"/>
          <w:sz w:val="24"/>
          <w:szCs w:val="24"/>
          <w:highlight w:val="none"/>
          <w:lang w:val="en-US" w:eastAsia="zh-CN" w:bidi="ar-SA"/>
        </w:rPr>
        <w:t>其他约定</w:t>
      </w:r>
    </w:p>
    <w:p>
      <w:pPr>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1、响应供应商应认真实地考察，全面综合考虑采购单位的各种实际情况，综合考虑投标报价，本项目所涉及的所有费用成交时一次包定，以后不再另行追加任何费用。</w:t>
      </w:r>
    </w:p>
    <w:p>
      <w:pPr>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2、报价要求</w:t>
      </w:r>
    </w:p>
    <w:p>
      <w:pPr>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采用总价承包的方式报价。响应供应商报价必须包含完成采购方要求的一切可能的费用，无论本文件是否以文字形式规定，响应供应商应具备足够的专业知识和能力判定本项目所需的一切材料、施工及服务，考虑各种未预见费用，采购方不接受任何可选择的报价，成交候选人也不得在施工、安装期间提出任何增加费用的要求，更不得减少施工项目，不得降低施工质量。</w:t>
      </w:r>
    </w:p>
    <w:p>
      <w:pPr>
        <w:ind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3、现场勘察</w:t>
      </w:r>
    </w:p>
    <w:p>
      <w:pPr>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1）本次招标，采购人不统一组织现场勘察，各位潜在投标人可以自行勘探现场，勘察现场所发生的费用由响应供应商自行承担。</w:t>
      </w:r>
    </w:p>
    <w:p>
      <w:pPr>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2）采购人向响应供应商提供的有关现场的资料和数据，是采购人现有的能被响应供应商利用的资料。采购人对响应供应商由此而做出的推论、理解和结论概不负责。</w:t>
      </w:r>
    </w:p>
    <w:p>
      <w:pPr>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3）经采购人允许，响应供应商可为勘察目的进入采购人的项目现场，但响应供应商不得影响采购人正常工作秩序，不得因此使采购人承担有关的责任和蒙受损失。响应供应商应承担勘察现场的责任和风险。</w:t>
      </w:r>
    </w:p>
    <w:p>
      <w:pPr>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响应供应商应认真踏勘现场。在现场勘察时，熟悉现场及周围交通道路等情况，以获得一切可能影响其参加谈判的直接资料。响应供应商成交后，不得以不完全了解现场情况为理由而向采购人提出任何索赔的要求，对此采购人不承担任何责任并将不作任何答复与考虑。</w:t>
      </w:r>
    </w:p>
    <w:p>
      <w:pPr>
        <w:spacing w:line="360" w:lineRule="auto"/>
        <w:ind w:firstLine="482" w:firstLineChars="200"/>
        <w:rPr>
          <w:rFonts w:ascii="仿宋" w:hAnsi="仿宋" w:eastAsia="仿宋" w:cs="仿宋"/>
          <w:b/>
          <w:color w:val="auto"/>
          <w:sz w:val="24"/>
          <w:szCs w:val="24"/>
          <w:highlight w:val="none"/>
          <w:lang w:val="zh-CN"/>
        </w:rPr>
      </w:pPr>
      <w:r>
        <w:rPr>
          <w:rFonts w:hint="eastAsia" w:ascii="仿宋" w:hAnsi="仿宋" w:eastAsia="仿宋" w:cs="仿宋"/>
          <w:b/>
          <w:color w:val="auto"/>
          <w:sz w:val="24"/>
          <w:szCs w:val="24"/>
          <w:highlight w:val="none"/>
        </w:rPr>
        <w:t>4、</w:t>
      </w:r>
      <w:r>
        <w:rPr>
          <w:rFonts w:hint="eastAsia" w:ascii="仿宋" w:hAnsi="仿宋" w:eastAsia="仿宋" w:cs="仿宋"/>
          <w:b/>
          <w:color w:val="auto"/>
          <w:sz w:val="24"/>
          <w:szCs w:val="24"/>
          <w:highlight w:val="none"/>
          <w:lang w:val="zh-CN"/>
        </w:rPr>
        <w:t>付款时间和条件</w:t>
      </w:r>
    </w:p>
    <w:p>
      <w:pPr>
        <w:spacing w:line="360" w:lineRule="auto"/>
        <w:ind w:firstLine="440" w:firstLineChars="200"/>
        <w:jc w:val="left"/>
        <w:rPr>
          <w:rFonts w:ascii="仿宋" w:hAnsi="仿宋" w:eastAsia="仿宋" w:cs="仿宋"/>
          <w:b/>
          <w:bCs/>
          <w:color w:val="auto"/>
          <w:sz w:val="28"/>
          <w:szCs w:val="24"/>
          <w:highlight w:val="none"/>
          <w:u w:val="single"/>
        </w:rPr>
      </w:pPr>
      <w:r>
        <w:rPr>
          <w:rFonts w:hint="eastAsia" w:ascii="仿宋" w:hAnsi="仿宋" w:eastAsia="仿宋" w:cs="仿宋"/>
          <w:color w:val="auto"/>
          <w:sz w:val="22"/>
          <w:szCs w:val="24"/>
          <w:highlight w:val="none"/>
          <w:u w:val="none"/>
        </w:rPr>
        <w:t>本工程</w:t>
      </w:r>
      <w:r>
        <w:rPr>
          <w:rFonts w:hint="eastAsia" w:ascii="仿宋" w:hAnsi="仿宋" w:eastAsia="仿宋" w:cs="仿宋"/>
          <w:color w:val="auto"/>
          <w:sz w:val="22"/>
          <w:szCs w:val="24"/>
          <w:highlight w:val="none"/>
          <w:u w:val="none"/>
          <w:lang w:val="en-US" w:eastAsia="zh-CN"/>
        </w:rPr>
        <w:t>竣工</w:t>
      </w:r>
      <w:r>
        <w:rPr>
          <w:rFonts w:hint="eastAsia" w:ascii="仿宋" w:hAnsi="仿宋" w:eastAsia="仿宋" w:cs="仿宋"/>
          <w:color w:val="auto"/>
          <w:sz w:val="22"/>
          <w:szCs w:val="24"/>
          <w:highlight w:val="none"/>
          <w:u w:val="none"/>
        </w:rPr>
        <w:t>验收合格</w:t>
      </w:r>
      <w:r>
        <w:rPr>
          <w:rFonts w:hint="eastAsia" w:ascii="仿宋" w:hAnsi="仿宋" w:eastAsia="仿宋" w:cs="仿宋"/>
          <w:color w:val="auto"/>
          <w:sz w:val="22"/>
          <w:szCs w:val="24"/>
          <w:highlight w:val="none"/>
          <w:u w:val="none"/>
          <w:lang w:val="en-US" w:eastAsia="zh-CN"/>
        </w:rPr>
        <w:t>后</w:t>
      </w:r>
      <w:r>
        <w:rPr>
          <w:rFonts w:hint="eastAsia" w:ascii="仿宋" w:hAnsi="仿宋" w:eastAsia="仿宋" w:cs="仿宋"/>
          <w:color w:val="auto"/>
          <w:sz w:val="22"/>
          <w:szCs w:val="24"/>
          <w:highlight w:val="none"/>
          <w:u w:val="none"/>
        </w:rPr>
        <w:t>付</w:t>
      </w:r>
      <w:r>
        <w:rPr>
          <w:rFonts w:hint="eastAsia" w:ascii="仿宋" w:hAnsi="仿宋" w:eastAsia="仿宋" w:cs="仿宋"/>
          <w:color w:val="auto"/>
          <w:sz w:val="22"/>
          <w:szCs w:val="24"/>
          <w:highlight w:val="none"/>
          <w:u w:val="none"/>
          <w:lang w:val="en-US" w:eastAsia="zh-CN"/>
        </w:rPr>
        <w:t>合同价9</w:t>
      </w:r>
      <w:r>
        <w:rPr>
          <w:rFonts w:hint="eastAsia" w:ascii="仿宋" w:hAnsi="仿宋" w:eastAsia="仿宋" w:cs="仿宋"/>
          <w:color w:val="auto"/>
          <w:sz w:val="22"/>
          <w:szCs w:val="24"/>
          <w:highlight w:val="none"/>
          <w:u w:val="none"/>
        </w:rPr>
        <w:t>0%，</w:t>
      </w:r>
      <w:r>
        <w:rPr>
          <w:rFonts w:hint="eastAsia" w:ascii="仿宋" w:hAnsi="仿宋" w:eastAsia="仿宋" w:cs="仿宋"/>
          <w:color w:val="auto"/>
          <w:sz w:val="22"/>
          <w:szCs w:val="24"/>
          <w:highlight w:val="none"/>
          <w:u w:val="none"/>
          <w:lang w:val="en-US" w:eastAsia="zh-CN"/>
        </w:rPr>
        <w:t>质保期满且无任何质量问题后付合同价的10%</w:t>
      </w:r>
      <w:r>
        <w:rPr>
          <w:rFonts w:hint="eastAsia" w:ascii="仿宋" w:hAnsi="仿宋" w:eastAsia="仿宋" w:cs="仿宋"/>
          <w:color w:val="auto"/>
          <w:sz w:val="22"/>
          <w:szCs w:val="24"/>
          <w:highlight w:val="none"/>
          <w:u w:val="none"/>
        </w:rPr>
        <w:t>，</w:t>
      </w:r>
      <w:r>
        <w:rPr>
          <w:rFonts w:hint="eastAsia" w:ascii="仿宋" w:hAnsi="仿宋" w:eastAsia="仿宋" w:cs="仿宋"/>
          <w:color w:val="auto"/>
          <w:sz w:val="22"/>
          <w:szCs w:val="28"/>
          <w:highlight w:val="none"/>
          <w:u w:val="none"/>
        </w:rPr>
        <w:t>以上付款均不计利息。</w:t>
      </w:r>
    </w:p>
    <w:p>
      <w:pPr>
        <w:ind w:firstLine="482" w:firstLineChars="200"/>
        <w:rPr>
          <w:rFonts w:ascii="仿宋" w:hAnsi="仿宋" w:eastAsia="仿宋" w:cs="仿宋"/>
          <w:b/>
          <w:color w:val="auto"/>
          <w:sz w:val="24"/>
          <w:szCs w:val="24"/>
          <w:highlight w:val="none"/>
          <w:lang w:val="zh-CN"/>
        </w:rPr>
      </w:pPr>
      <w:r>
        <w:rPr>
          <w:rFonts w:hint="eastAsia" w:ascii="仿宋" w:hAnsi="仿宋" w:eastAsia="仿宋" w:cs="仿宋"/>
          <w:b/>
          <w:color w:val="auto"/>
          <w:sz w:val="24"/>
          <w:szCs w:val="24"/>
          <w:highlight w:val="none"/>
        </w:rPr>
        <w:t>5、</w:t>
      </w:r>
      <w:r>
        <w:rPr>
          <w:rFonts w:hint="eastAsia" w:ascii="仿宋" w:hAnsi="仿宋" w:eastAsia="仿宋" w:cs="仿宋"/>
          <w:b/>
          <w:color w:val="auto"/>
          <w:sz w:val="24"/>
          <w:szCs w:val="24"/>
          <w:highlight w:val="none"/>
          <w:lang w:val="zh-CN"/>
        </w:rPr>
        <w:t>其他</w:t>
      </w:r>
    </w:p>
    <w:p>
      <w:pPr>
        <w:snapToGrid w:val="0"/>
        <w:spacing w:line="360" w:lineRule="auto"/>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（1）签定合同日期：自中标（成交）通知书发出之日起15日内按时签约。</w:t>
      </w:r>
    </w:p>
    <w:p>
      <w:pPr>
        <w:autoSpaceDE w:val="0"/>
        <w:autoSpaceDN w:val="0"/>
        <w:adjustRightInd w:val="0"/>
        <w:snapToGrid w:val="0"/>
        <w:spacing w:before="100" w:after="100" w:line="300" w:lineRule="auto"/>
        <w:ind w:firstLine="480" w:firstLineChars="200"/>
        <w:contextualSpacing/>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（2）施工工期：30 日历天，具体开工日期以采购人要求为准。</w:t>
      </w:r>
    </w:p>
    <w:p>
      <w:pPr>
        <w:autoSpaceDE w:val="0"/>
        <w:autoSpaceDN w:val="0"/>
        <w:adjustRightInd w:val="0"/>
        <w:snapToGrid w:val="0"/>
        <w:spacing w:before="100" w:after="100" w:line="300" w:lineRule="auto"/>
        <w:ind w:firstLine="480" w:firstLineChars="200"/>
        <w:contextualSpacing/>
        <w:jc w:val="left"/>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rPr>
        <w:t>（3）施工地点：</w:t>
      </w:r>
      <w:r>
        <w:rPr>
          <w:rFonts w:hint="eastAsia" w:ascii="仿宋" w:hAnsi="仿宋" w:eastAsia="仿宋" w:cs="仿宋"/>
          <w:bCs/>
          <w:color w:val="auto"/>
          <w:sz w:val="24"/>
          <w:szCs w:val="24"/>
          <w:highlight w:val="none"/>
          <w:lang w:eastAsia="zh-CN"/>
        </w:rPr>
        <w:t>南通高等师范学校附属小学</w:t>
      </w:r>
    </w:p>
    <w:p>
      <w:pPr>
        <w:pStyle w:val="2"/>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（4）质保期限：</w:t>
      </w: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rPr>
        <w:t>年，自本标段自竣工验收合格之日起。质保期内出现任何问题由中标人承担。</w:t>
      </w:r>
    </w:p>
    <w:p>
      <w:pPr>
        <w:pStyle w:val="2"/>
        <w:ind w:firstLine="480" w:firstLineChars="200"/>
        <w:rPr>
          <w:rFonts w:ascii="仿宋" w:hAnsi="仿宋" w:eastAsia="仿宋" w:cs="仿宋"/>
          <w:bCs/>
          <w:color w:val="auto"/>
          <w:sz w:val="24"/>
          <w:szCs w:val="24"/>
          <w:highlight w:val="none"/>
        </w:rPr>
        <w:sectPr>
          <w:footerReference r:id="rId4" w:type="first"/>
          <w:footerReference r:id="rId3" w:type="default"/>
          <w:pgSz w:w="11907" w:h="16840"/>
          <w:pgMar w:top="1134" w:right="1021" w:bottom="1134" w:left="1021" w:header="720" w:footer="720" w:gutter="340"/>
          <w:cols w:space="720" w:num="1"/>
          <w:titlePg/>
          <w:docGrid w:linePitch="272" w:charSpace="0"/>
        </w:sectPr>
      </w:pPr>
    </w:p>
    <w:p>
      <w:pPr>
        <w:widowControl/>
        <w:jc w:val="center"/>
        <w:rPr>
          <w:rFonts w:ascii="仿宋" w:hAnsi="仿宋" w:eastAsia="仿宋" w:cs="宋体"/>
          <w:bCs/>
          <w:color w:val="auto"/>
          <w:sz w:val="32"/>
          <w:szCs w:val="32"/>
          <w:highlight w:val="none"/>
        </w:rPr>
      </w:pPr>
    </w:p>
    <w:bookmarkEnd w:id="132"/>
    <w:p>
      <w:pPr>
        <w:spacing w:line="480" w:lineRule="exact"/>
        <w:ind w:firstLine="2991" w:firstLineChars="931"/>
        <w:rPr>
          <w:rFonts w:ascii="仿宋" w:hAnsi="仿宋" w:eastAsia="仿宋" w:cs="Times New Roman"/>
          <w:b/>
          <w:color w:val="auto"/>
          <w:sz w:val="24"/>
          <w:szCs w:val="24"/>
          <w:highlight w:val="none"/>
        </w:rPr>
      </w:pPr>
      <w:r>
        <w:rPr>
          <w:rFonts w:hint="eastAsia" w:ascii="仿宋" w:hAnsi="仿宋" w:eastAsia="仿宋" w:cs="Times New Roman"/>
          <w:b/>
          <w:color w:val="auto"/>
          <w:sz w:val="32"/>
          <w:szCs w:val="32"/>
          <w:highlight w:val="none"/>
        </w:rPr>
        <w:t>第五章   谈判响应文件格式</w:t>
      </w:r>
    </w:p>
    <w:p>
      <w:pPr>
        <w:keepNext/>
        <w:keepLines/>
        <w:spacing w:before="260" w:after="260" w:line="416" w:lineRule="auto"/>
        <w:outlineLvl w:val="2"/>
        <w:rPr>
          <w:rFonts w:ascii="仿宋" w:hAnsi="仿宋" w:eastAsia="仿宋" w:cs="Times New Roman"/>
          <w:b/>
          <w:color w:val="auto"/>
          <w:sz w:val="28"/>
          <w:szCs w:val="28"/>
          <w:highlight w:val="none"/>
        </w:rPr>
      </w:pPr>
      <w:bookmarkStart w:id="139" w:name="_Toc397928631"/>
      <w:r>
        <w:rPr>
          <w:rFonts w:hint="eastAsia" w:ascii="仿宋" w:hAnsi="仿宋" w:eastAsia="仿宋" w:cs="宋体"/>
          <w:b/>
          <w:bCs/>
          <w:color w:val="auto"/>
          <w:sz w:val="28"/>
          <w:highlight w:val="none"/>
        </w:rPr>
        <w:t>封面</w:t>
      </w:r>
      <w:bookmarkEnd w:id="139"/>
    </w:p>
    <w:p>
      <w:pPr>
        <w:ind w:firstLine="420"/>
        <w:rPr>
          <w:rFonts w:ascii="仿宋" w:hAnsi="仿宋" w:eastAsia="仿宋" w:cs="Times New Roman"/>
          <w:color w:val="auto"/>
          <w:sz w:val="28"/>
          <w:szCs w:val="28"/>
          <w:highlight w:val="none"/>
        </w:rPr>
      </w:pPr>
    </w:p>
    <w:p>
      <w:pPr>
        <w:jc w:val="center"/>
        <w:rPr>
          <w:rFonts w:ascii="仿宋" w:hAnsi="仿宋" w:eastAsia="仿宋" w:cs="Times New Roman"/>
          <w:b/>
          <w:color w:val="auto"/>
          <w:sz w:val="28"/>
          <w:szCs w:val="28"/>
          <w:highlight w:val="none"/>
        </w:rPr>
      </w:pPr>
    </w:p>
    <w:p>
      <w:pPr>
        <w:jc w:val="center"/>
        <w:rPr>
          <w:rFonts w:ascii="仿宋" w:hAnsi="仿宋" w:eastAsia="仿宋" w:cs="Times New Roman"/>
          <w:b/>
          <w:color w:val="auto"/>
          <w:sz w:val="28"/>
          <w:szCs w:val="28"/>
          <w:highlight w:val="none"/>
        </w:rPr>
      </w:pPr>
      <w:r>
        <w:rPr>
          <w:rFonts w:hint="eastAsia" w:ascii="仿宋" w:hAnsi="仿宋" w:eastAsia="仿宋" w:cs="Times New Roman"/>
          <w:b/>
          <w:color w:val="auto"/>
          <w:sz w:val="28"/>
          <w:szCs w:val="28"/>
          <w:highlight w:val="none"/>
        </w:rPr>
        <w:t>竞争性谈判响应文件</w:t>
      </w:r>
    </w:p>
    <w:p>
      <w:pPr>
        <w:adjustRightInd w:val="0"/>
        <w:spacing w:before="120" w:after="120" w:line="360" w:lineRule="auto"/>
        <w:jc w:val="center"/>
        <w:textAlignment w:val="baseline"/>
        <w:rPr>
          <w:rFonts w:ascii="仿宋" w:hAnsi="仿宋" w:eastAsia="仿宋" w:cs="Times New Roman"/>
          <w:b/>
          <w:bCs/>
          <w:color w:val="auto"/>
          <w:kern w:val="0"/>
          <w:sz w:val="28"/>
          <w:szCs w:val="28"/>
          <w:highlight w:val="none"/>
        </w:rPr>
      </w:pPr>
      <w:r>
        <w:rPr>
          <w:rFonts w:hint="eastAsia" w:ascii="仿宋" w:hAnsi="仿宋" w:eastAsia="仿宋" w:cs="宋体"/>
          <w:color w:val="auto"/>
          <w:kern w:val="0"/>
          <w:sz w:val="28"/>
          <w:szCs w:val="28"/>
          <w:highlight w:val="none"/>
          <w:u w:val="single"/>
        </w:rPr>
        <w:t>资格证明材料包/报价标包</w:t>
      </w:r>
    </w:p>
    <w:p>
      <w:pPr>
        <w:ind w:firstLine="843" w:firstLineChars="300"/>
        <w:rPr>
          <w:rFonts w:ascii="仿宋" w:hAnsi="仿宋" w:eastAsia="仿宋" w:cs="Times New Roman"/>
          <w:b/>
          <w:color w:val="auto"/>
          <w:sz w:val="28"/>
          <w:szCs w:val="28"/>
          <w:highlight w:val="none"/>
        </w:rPr>
      </w:pPr>
    </w:p>
    <w:p>
      <w:pPr>
        <w:ind w:firstLine="843" w:firstLineChars="300"/>
        <w:rPr>
          <w:rFonts w:ascii="仿宋" w:hAnsi="仿宋" w:eastAsia="仿宋" w:cs="Times New Roman"/>
          <w:b/>
          <w:color w:val="auto"/>
          <w:sz w:val="28"/>
          <w:szCs w:val="28"/>
          <w:highlight w:val="none"/>
        </w:rPr>
      </w:pPr>
    </w:p>
    <w:p>
      <w:pPr>
        <w:ind w:firstLine="843" w:firstLineChars="300"/>
        <w:rPr>
          <w:rFonts w:ascii="仿宋" w:hAnsi="仿宋" w:eastAsia="仿宋" w:cs="Times New Roman"/>
          <w:b/>
          <w:color w:val="auto"/>
          <w:sz w:val="28"/>
          <w:szCs w:val="28"/>
          <w:highlight w:val="none"/>
        </w:rPr>
      </w:pPr>
    </w:p>
    <w:p>
      <w:pPr>
        <w:ind w:firstLine="843" w:firstLineChars="300"/>
        <w:rPr>
          <w:rFonts w:ascii="仿宋" w:hAnsi="仿宋" w:eastAsia="仿宋" w:cs="Times New Roman"/>
          <w:b/>
          <w:color w:val="auto"/>
          <w:sz w:val="28"/>
          <w:szCs w:val="28"/>
          <w:highlight w:val="none"/>
        </w:rPr>
      </w:pPr>
    </w:p>
    <w:p>
      <w:pPr>
        <w:ind w:firstLine="843" w:firstLineChars="300"/>
        <w:rPr>
          <w:rFonts w:ascii="仿宋" w:hAnsi="仿宋" w:eastAsia="仿宋" w:cs="Times New Roman"/>
          <w:b/>
          <w:color w:val="auto"/>
          <w:sz w:val="28"/>
          <w:szCs w:val="28"/>
          <w:highlight w:val="none"/>
        </w:rPr>
      </w:pPr>
    </w:p>
    <w:p>
      <w:pPr>
        <w:ind w:firstLine="843" w:firstLineChars="300"/>
        <w:rPr>
          <w:rFonts w:ascii="仿宋" w:hAnsi="仿宋" w:eastAsia="仿宋" w:cs="Times New Roman"/>
          <w:b/>
          <w:color w:val="auto"/>
          <w:sz w:val="28"/>
          <w:szCs w:val="28"/>
          <w:highlight w:val="none"/>
        </w:rPr>
      </w:pPr>
    </w:p>
    <w:p>
      <w:pPr>
        <w:ind w:firstLine="843" w:firstLineChars="300"/>
        <w:rPr>
          <w:rFonts w:ascii="仿宋" w:hAnsi="仿宋" w:eastAsia="仿宋" w:cs="Times New Roman"/>
          <w:b/>
          <w:color w:val="auto"/>
          <w:sz w:val="28"/>
          <w:szCs w:val="28"/>
          <w:highlight w:val="none"/>
          <w:u w:val="single"/>
        </w:rPr>
      </w:pPr>
      <w:r>
        <w:rPr>
          <w:rFonts w:hint="eastAsia" w:ascii="仿宋" w:hAnsi="仿宋" w:eastAsia="仿宋" w:cs="Times New Roman"/>
          <w:b/>
          <w:color w:val="auto"/>
          <w:sz w:val="28"/>
          <w:szCs w:val="28"/>
          <w:highlight w:val="none"/>
        </w:rPr>
        <w:t>项 目 名 称：</w:t>
      </w:r>
    </w:p>
    <w:p>
      <w:pPr>
        <w:ind w:firstLine="843" w:firstLineChars="300"/>
        <w:rPr>
          <w:rFonts w:ascii="仿宋" w:hAnsi="仿宋" w:eastAsia="仿宋" w:cs="Times New Roman"/>
          <w:b/>
          <w:color w:val="auto"/>
          <w:sz w:val="28"/>
          <w:szCs w:val="28"/>
          <w:highlight w:val="none"/>
          <w:u w:val="single"/>
        </w:rPr>
      </w:pPr>
      <w:r>
        <w:rPr>
          <w:rFonts w:hint="eastAsia" w:ascii="仿宋" w:hAnsi="仿宋" w:eastAsia="仿宋" w:cs="Times New Roman"/>
          <w:b/>
          <w:color w:val="auto"/>
          <w:sz w:val="28"/>
          <w:szCs w:val="28"/>
          <w:highlight w:val="none"/>
        </w:rPr>
        <w:t>项 目 编 号：</w:t>
      </w:r>
    </w:p>
    <w:p>
      <w:pPr>
        <w:ind w:firstLine="843" w:firstLineChars="300"/>
        <w:rPr>
          <w:rFonts w:ascii="仿宋" w:hAnsi="仿宋" w:eastAsia="仿宋" w:cs="Times New Roman"/>
          <w:b/>
          <w:color w:val="auto"/>
          <w:sz w:val="28"/>
          <w:szCs w:val="28"/>
          <w:highlight w:val="none"/>
        </w:rPr>
      </w:pPr>
      <w:r>
        <w:rPr>
          <w:rFonts w:hint="eastAsia" w:ascii="仿宋" w:hAnsi="仿宋" w:eastAsia="仿宋" w:cs="Times New Roman"/>
          <w:b/>
          <w:color w:val="auto"/>
          <w:sz w:val="28"/>
          <w:szCs w:val="28"/>
          <w:highlight w:val="none"/>
        </w:rPr>
        <w:t>谈判供应商名称：</w:t>
      </w:r>
    </w:p>
    <w:p>
      <w:pPr>
        <w:rPr>
          <w:rFonts w:ascii="仿宋" w:hAnsi="仿宋" w:eastAsia="仿宋" w:cs="Times New Roman"/>
          <w:b/>
          <w:color w:val="auto"/>
          <w:sz w:val="28"/>
          <w:szCs w:val="28"/>
          <w:highlight w:val="none"/>
          <w:u w:val="single"/>
        </w:rPr>
      </w:pPr>
      <w:r>
        <w:rPr>
          <w:rFonts w:hint="eastAsia" w:ascii="仿宋" w:hAnsi="仿宋" w:eastAsia="仿宋" w:cs="Times New Roman"/>
          <w:b/>
          <w:color w:val="auto"/>
          <w:sz w:val="28"/>
          <w:szCs w:val="28"/>
          <w:highlight w:val="none"/>
        </w:rPr>
        <w:t xml:space="preserve">      日       期：</w:t>
      </w:r>
    </w:p>
    <w:p>
      <w:pPr>
        <w:adjustRightInd w:val="0"/>
        <w:spacing w:before="120" w:after="120" w:line="360" w:lineRule="auto"/>
        <w:ind w:right="99" w:rightChars="47"/>
        <w:jc w:val="center"/>
        <w:textAlignment w:val="baseline"/>
        <w:rPr>
          <w:rFonts w:ascii="仿宋" w:hAnsi="仿宋" w:eastAsia="仿宋" w:cs="Times New Roman"/>
          <w:color w:val="auto"/>
          <w:kern w:val="0"/>
          <w:sz w:val="28"/>
          <w:szCs w:val="28"/>
          <w:highlight w:val="none"/>
        </w:rPr>
      </w:pPr>
    </w:p>
    <w:p>
      <w:pPr>
        <w:adjustRightInd w:val="0"/>
        <w:spacing w:line="360" w:lineRule="auto"/>
        <w:jc w:val="left"/>
        <w:textAlignment w:val="baseline"/>
        <w:rPr>
          <w:rFonts w:ascii="仿宋" w:hAnsi="仿宋" w:eastAsia="仿宋" w:cs="Times New Roman"/>
          <w:color w:val="auto"/>
          <w:kern w:val="0"/>
          <w:sz w:val="28"/>
          <w:szCs w:val="28"/>
          <w:highlight w:val="none"/>
        </w:rPr>
      </w:pPr>
    </w:p>
    <w:p>
      <w:pPr>
        <w:adjustRightInd w:val="0"/>
        <w:spacing w:line="360" w:lineRule="auto"/>
        <w:jc w:val="left"/>
        <w:textAlignment w:val="baseline"/>
        <w:rPr>
          <w:rFonts w:ascii="仿宋" w:hAnsi="仿宋" w:eastAsia="仿宋" w:cs="Times New Roman"/>
          <w:color w:val="auto"/>
          <w:kern w:val="0"/>
          <w:sz w:val="28"/>
          <w:szCs w:val="28"/>
          <w:highlight w:val="none"/>
        </w:rPr>
      </w:pPr>
    </w:p>
    <w:p>
      <w:pPr>
        <w:adjustRightInd w:val="0"/>
        <w:spacing w:line="360" w:lineRule="auto"/>
        <w:jc w:val="left"/>
        <w:textAlignment w:val="baseline"/>
        <w:rPr>
          <w:rFonts w:ascii="仿宋" w:hAnsi="仿宋" w:eastAsia="仿宋" w:cs="Times New Roman"/>
          <w:color w:val="auto"/>
          <w:kern w:val="0"/>
          <w:sz w:val="28"/>
          <w:szCs w:val="28"/>
          <w:highlight w:val="none"/>
        </w:rPr>
      </w:pPr>
    </w:p>
    <w:p>
      <w:pPr>
        <w:adjustRightInd w:val="0"/>
        <w:spacing w:line="360" w:lineRule="auto"/>
        <w:jc w:val="left"/>
        <w:textAlignment w:val="baseline"/>
        <w:rPr>
          <w:rFonts w:ascii="仿宋" w:hAnsi="仿宋" w:eastAsia="仿宋" w:cs="Times New Roman"/>
          <w:color w:val="auto"/>
          <w:kern w:val="0"/>
          <w:sz w:val="28"/>
          <w:szCs w:val="28"/>
          <w:highlight w:val="none"/>
        </w:rPr>
      </w:pPr>
    </w:p>
    <w:p>
      <w:pPr>
        <w:snapToGrid w:val="0"/>
        <w:spacing w:line="360" w:lineRule="auto"/>
        <w:jc w:val="center"/>
        <w:outlineLvl w:val="0"/>
        <w:rPr>
          <w:rFonts w:ascii="仿宋" w:hAnsi="仿宋" w:eastAsia="仿宋" w:cs="宋体"/>
          <w:bCs/>
          <w:color w:val="auto"/>
          <w:sz w:val="24"/>
          <w:szCs w:val="24"/>
          <w:highlight w:val="none"/>
        </w:rPr>
      </w:pPr>
      <w:bookmarkStart w:id="140" w:name="_Toc438651224"/>
    </w:p>
    <w:bookmarkEnd w:id="140"/>
    <w:p>
      <w:pPr>
        <w:snapToGrid w:val="0"/>
        <w:spacing w:line="360" w:lineRule="auto"/>
        <w:jc w:val="center"/>
        <w:outlineLvl w:val="0"/>
        <w:rPr>
          <w:rFonts w:ascii="仿宋" w:hAnsi="仿宋" w:eastAsia="仿宋" w:cs="宋体"/>
          <w:bCs/>
          <w:color w:val="auto"/>
          <w:sz w:val="24"/>
          <w:szCs w:val="24"/>
          <w:highlight w:val="none"/>
        </w:rPr>
      </w:pPr>
      <w:bookmarkStart w:id="141" w:name="_Toc438651225"/>
    </w:p>
    <w:p>
      <w:pPr>
        <w:snapToGrid w:val="0"/>
        <w:spacing w:line="360" w:lineRule="auto"/>
        <w:jc w:val="center"/>
        <w:outlineLvl w:val="0"/>
        <w:rPr>
          <w:rFonts w:ascii="仿宋" w:hAnsi="仿宋" w:eastAsia="仿宋" w:cs="宋体"/>
          <w:color w:val="auto"/>
          <w:sz w:val="32"/>
          <w:szCs w:val="32"/>
          <w:highlight w:val="none"/>
        </w:rPr>
      </w:pPr>
      <w:r>
        <w:rPr>
          <w:rFonts w:ascii="仿宋" w:hAnsi="仿宋" w:eastAsia="仿宋" w:cs="宋体"/>
          <w:bCs/>
          <w:color w:val="auto"/>
          <w:sz w:val="32"/>
          <w:szCs w:val="32"/>
          <w:highlight w:val="none"/>
        </w:rPr>
        <w:br w:type="page"/>
      </w:r>
      <w:r>
        <w:rPr>
          <w:rFonts w:hint="eastAsia" w:ascii="仿宋" w:hAnsi="仿宋" w:eastAsia="仿宋" w:cs="宋体"/>
          <w:bCs/>
          <w:color w:val="auto"/>
          <w:sz w:val="32"/>
          <w:szCs w:val="32"/>
          <w:highlight w:val="none"/>
        </w:rPr>
        <w:t>第一部分  资格证明材料包</w:t>
      </w:r>
      <w:bookmarkEnd w:id="141"/>
    </w:p>
    <w:p>
      <w:pPr>
        <w:spacing w:line="440" w:lineRule="exact"/>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目   录</w:t>
      </w:r>
    </w:p>
    <w:p>
      <w:pPr>
        <w:spacing w:line="46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1、封面</w:t>
      </w:r>
    </w:p>
    <w:p>
      <w:pPr>
        <w:widowControl/>
        <w:shd w:val="clear" w:color="auto" w:fill="FFFFFF"/>
        <w:spacing w:line="360" w:lineRule="auto"/>
        <w:ind w:firstLine="480"/>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2、</w:t>
      </w:r>
      <w:r>
        <w:rPr>
          <w:rFonts w:hint="eastAsia" w:ascii="仿宋" w:hAnsi="仿宋" w:eastAsia="仿宋" w:cs="Arial"/>
          <w:color w:val="auto"/>
          <w:kern w:val="0"/>
          <w:sz w:val="24"/>
          <w:szCs w:val="24"/>
          <w:highlight w:val="none"/>
        </w:rPr>
        <w:t>提供有效营业执照（副本）（提供原件复印件）；</w:t>
      </w:r>
    </w:p>
    <w:p>
      <w:pPr>
        <w:widowControl/>
        <w:shd w:val="clear" w:color="auto" w:fill="FFFFFF"/>
        <w:spacing w:line="360" w:lineRule="auto"/>
        <w:ind w:firstLine="345" w:firstLineChars="150"/>
        <w:jc w:val="left"/>
        <w:rPr>
          <w:rFonts w:ascii="仿宋" w:hAnsi="仿宋" w:eastAsia="仿宋" w:cs="宋体"/>
          <w:color w:val="auto"/>
          <w:sz w:val="24"/>
          <w:szCs w:val="24"/>
          <w:highlight w:val="none"/>
        </w:rPr>
      </w:pPr>
      <w:r>
        <w:rPr>
          <w:rFonts w:hint="eastAsia" w:ascii="仿宋" w:hAnsi="仿宋" w:eastAsia="仿宋" w:cs="Arial"/>
          <w:color w:val="auto"/>
          <w:kern w:val="0"/>
          <w:sz w:val="23"/>
          <w:szCs w:val="23"/>
          <w:highlight w:val="none"/>
        </w:rPr>
        <w:t>3、具有良好的商业信誉和健全的财务会计制度</w:t>
      </w:r>
      <w:r>
        <w:rPr>
          <w:rFonts w:hint="eastAsia" w:ascii="仿宋" w:hAnsi="仿宋" w:eastAsia="仿宋" w:cs="宋体"/>
          <w:color w:val="auto"/>
          <w:sz w:val="24"/>
          <w:szCs w:val="24"/>
          <w:highlight w:val="none"/>
        </w:rPr>
        <w:t>【提供上一年度的财务状况报告（成立不满一年不需提供）】；</w:t>
      </w:r>
    </w:p>
    <w:p>
      <w:pPr>
        <w:snapToGrid w:val="0"/>
        <w:spacing w:line="440" w:lineRule="exact"/>
        <w:ind w:firstLine="460" w:firstLineChars="200"/>
        <w:rPr>
          <w:rFonts w:ascii="仿宋" w:hAnsi="仿宋" w:eastAsia="仿宋" w:cs="Arial"/>
          <w:color w:val="auto"/>
          <w:sz w:val="23"/>
          <w:szCs w:val="23"/>
          <w:highlight w:val="none"/>
        </w:rPr>
      </w:pPr>
      <w:r>
        <w:rPr>
          <w:rFonts w:hint="eastAsia" w:ascii="仿宋" w:hAnsi="仿宋" w:eastAsia="仿宋" w:cs="Arial"/>
          <w:color w:val="auto"/>
          <w:sz w:val="23"/>
          <w:szCs w:val="23"/>
          <w:highlight w:val="none"/>
        </w:rPr>
        <w:t>4、具有履行合同所必需的设备和专业技术能力</w:t>
      </w:r>
      <w:r>
        <w:rPr>
          <w:rFonts w:ascii="仿宋" w:hAnsi="仿宋" w:eastAsia="仿宋" w:cs="Times New Roman"/>
          <w:color w:val="auto"/>
          <w:highlight w:val="none"/>
        </w:rPr>
        <w:t>（</w:t>
      </w:r>
      <w:r>
        <w:rPr>
          <w:rFonts w:ascii="仿宋" w:hAnsi="仿宋" w:eastAsia="仿宋" w:cs="Arial"/>
          <w:color w:val="auto"/>
          <w:sz w:val="23"/>
          <w:szCs w:val="23"/>
          <w:highlight w:val="none"/>
        </w:rPr>
        <w:t>提供承诺函</w:t>
      </w:r>
      <w:r>
        <w:rPr>
          <w:rFonts w:hint="eastAsia" w:ascii="仿宋" w:hAnsi="仿宋" w:eastAsia="仿宋" w:cs="Arial"/>
          <w:color w:val="auto"/>
          <w:sz w:val="23"/>
          <w:szCs w:val="23"/>
          <w:highlight w:val="none"/>
        </w:rPr>
        <w:t>，</w:t>
      </w:r>
      <w:r>
        <w:rPr>
          <w:rFonts w:ascii="仿宋" w:hAnsi="仿宋" w:eastAsia="仿宋" w:cs="Arial"/>
          <w:color w:val="auto"/>
          <w:sz w:val="23"/>
          <w:szCs w:val="23"/>
          <w:highlight w:val="none"/>
        </w:rPr>
        <w:t>按第</w:t>
      </w:r>
      <w:r>
        <w:rPr>
          <w:rFonts w:hint="eastAsia" w:ascii="仿宋" w:hAnsi="仿宋" w:eastAsia="仿宋" w:cs="Arial"/>
          <w:color w:val="auto"/>
          <w:sz w:val="23"/>
          <w:szCs w:val="23"/>
          <w:highlight w:val="none"/>
        </w:rPr>
        <w:t>五</w:t>
      </w:r>
      <w:r>
        <w:rPr>
          <w:rFonts w:ascii="仿宋" w:hAnsi="仿宋" w:eastAsia="仿宋" w:cs="Arial"/>
          <w:color w:val="auto"/>
          <w:sz w:val="23"/>
          <w:szCs w:val="23"/>
          <w:highlight w:val="none"/>
        </w:rPr>
        <w:t>章后附格）</w:t>
      </w:r>
      <w:r>
        <w:rPr>
          <w:rFonts w:hint="eastAsia" w:ascii="仿宋" w:hAnsi="仿宋" w:eastAsia="仿宋" w:cs="Arial"/>
          <w:color w:val="auto"/>
          <w:sz w:val="23"/>
          <w:szCs w:val="23"/>
          <w:highlight w:val="none"/>
        </w:rPr>
        <w:t>；</w:t>
      </w:r>
    </w:p>
    <w:p>
      <w:pPr>
        <w:snapToGrid w:val="0"/>
        <w:spacing w:line="440" w:lineRule="exact"/>
        <w:ind w:firstLine="460" w:firstLineChars="200"/>
        <w:rPr>
          <w:rFonts w:ascii="仿宋" w:hAnsi="仿宋" w:eastAsia="仿宋" w:cs="Arial"/>
          <w:color w:val="auto"/>
          <w:sz w:val="23"/>
          <w:szCs w:val="23"/>
          <w:highlight w:val="none"/>
        </w:rPr>
      </w:pPr>
      <w:r>
        <w:rPr>
          <w:rFonts w:hint="eastAsia" w:ascii="仿宋" w:hAnsi="仿宋" w:eastAsia="仿宋" w:cs="Arial"/>
          <w:color w:val="auto"/>
          <w:sz w:val="23"/>
          <w:szCs w:val="23"/>
          <w:highlight w:val="none"/>
        </w:rPr>
        <w:t>5、具有依法缴纳税收和社会保障资金的良好记录（</w:t>
      </w:r>
      <w:r>
        <w:rPr>
          <w:rFonts w:hint="eastAsia" w:ascii="仿宋" w:hAnsi="仿宋" w:eastAsia="仿宋" w:cs="Arial"/>
          <w:color w:val="auto"/>
          <w:sz w:val="23"/>
          <w:szCs w:val="23"/>
          <w:highlight w:val="none"/>
          <w:lang w:eastAsia="zh-CN"/>
        </w:rPr>
        <w:t>提供自本公告发布日前6个月内任意1个月的依法缴纳税收和社会保障资金的相关材料</w:t>
      </w:r>
      <w:r>
        <w:rPr>
          <w:rFonts w:hint="eastAsia" w:ascii="仿宋" w:hAnsi="仿宋" w:eastAsia="仿宋" w:cs="Arial"/>
          <w:color w:val="auto"/>
          <w:sz w:val="23"/>
          <w:szCs w:val="23"/>
          <w:highlight w:val="none"/>
        </w:rPr>
        <w:t>）；</w:t>
      </w:r>
    </w:p>
    <w:p>
      <w:pPr>
        <w:widowControl/>
        <w:shd w:val="clear" w:color="auto" w:fill="FFFFFF"/>
        <w:spacing w:line="360" w:lineRule="auto"/>
        <w:ind w:firstLine="480"/>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6、</w:t>
      </w:r>
      <w:r>
        <w:rPr>
          <w:rFonts w:hint="eastAsia" w:ascii="仿宋" w:hAnsi="仿宋" w:eastAsia="仿宋" w:cs="宋体"/>
          <w:color w:val="auto"/>
          <w:kern w:val="0"/>
          <w:sz w:val="24"/>
          <w:szCs w:val="24"/>
          <w:highlight w:val="none"/>
        </w:rPr>
        <w:t>法定代表人参加投标的，必须提供法人身份证明原件及本人身份证复印件；非法定代表人参加的，必须提供法定代表人签名或盖章的授权委托书原件及被委托授权人身份证复印件的这两项（须加盖公章）；</w:t>
      </w:r>
    </w:p>
    <w:p>
      <w:pPr>
        <w:pStyle w:val="2"/>
        <w:ind w:firstLine="480" w:firstLineChars="200"/>
        <w:rPr>
          <w:rFonts w:ascii="仿宋" w:hAnsi="仿宋" w:eastAsia="仿宋" w:cs="Arial"/>
          <w:b/>
          <w:bCs/>
          <w:color w:val="auto"/>
          <w:kern w:val="0"/>
          <w:sz w:val="24"/>
          <w:szCs w:val="24"/>
          <w:highlight w:val="none"/>
        </w:rPr>
      </w:pPr>
      <w:r>
        <w:rPr>
          <w:rFonts w:hint="eastAsia" w:ascii="仿宋" w:hAnsi="仿宋" w:eastAsia="仿宋" w:cs="Arial"/>
          <w:color w:val="auto"/>
          <w:kern w:val="0"/>
          <w:sz w:val="24"/>
          <w:szCs w:val="24"/>
          <w:highlight w:val="none"/>
        </w:rPr>
        <w:t>7、响应供应商未被“信用中国”网站（www.creditchina.gov.cn）、</w:t>
      </w:r>
      <w:r>
        <w:rPr>
          <w:rFonts w:hint="eastAsia" w:ascii="仿宋" w:hAnsi="仿宋" w:eastAsia="仿宋" w:cs="Arial"/>
          <w:color w:val="auto"/>
          <w:kern w:val="0"/>
          <w:sz w:val="24"/>
          <w:szCs w:val="24"/>
          <w:highlight w:val="none"/>
          <w:lang w:eastAsia="zh-CN"/>
        </w:rPr>
        <w:t>中国政府采购网</w:t>
      </w:r>
      <w:r>
        <w:rPr>
          <w:rFonts w:hint="eastAsia" w:ascii="仿宋" w:hAnsi="仿宋" w:eastAsia="仿宋" w:cs="Arial"/>
          <w:color w:val="auto"/>
          <w:kern w:val="0"/>
          <w:sz w:val="24"/>
          <w:szCs w:val="24"/>
          <w:highlight w:val="none"/>
        </w:rPr>
        <w:t>（www.ccgp.gov.cn）列入失信被执行人、重大税收违法案件当事人名单、政府采购严重失信行为记录名单；为确保政府采购守法供应商公平参加政府采购活动，采购代理机构将在开标开始后一个小时内，通过信用中国网站对供应商信用信息进行查询查证，并将查询记录截屏打印保存在采购档案内。若被查实为失信单位的，资格审查不予通过。</w:t>
      </w:r>
    </w:p>
    <w:p>
      <w:pPr>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Arial"/>
          <w:color w:val="auto"/>
          <w:kern w:val="0"/>
          <w:sz w:val="24"/>
          <w:szCs w:val="24"/>
          <w:highlight w:val="none"/>
        </w:rPr>
        <w:t>8、</w:t>
      </w:r>
      <w:r>
        <w:rPr>
          <w:rFonts w:hint="eastAsia" w:ascii="仿宋" w:hAnsi="仿宋" w:eastAsia="仿宋" w:cs="宋体"/>
          <w:color w:val="auto"/>
          <w:sz w:val="24"/>
          <w:szCs w:val="24"/>
          <w:highlight w:val="none"/>
        </w:rPr>
        <w:t>关于资格文件的声明函（格式按第五章）</w:t>
      </w:r>
    </w:p>
    <w:p>
      <w:pPr>
        <w:adjustRightInd w:val="0"/>
        <w:spacing w:line="460" w:lineRule="exact"/>
        <w:ind w:firstLine="480" w:firstLineChars="200"/>
        <w:rPr>
          <w:rFonts w:ascii="仿宋" w:hAnsi="仿宋" w:eastAsia="仿宋" w:cs="仿宋"/>
          <w:b/>
          <w:color w:val="auto"/>
          <w:kern w:val="0"/>
          <w:sz w:val="24"/>
          <w:highlight w:val="none"/>
          <w:u w:val="single"/>
        </w:rPr>
      </w:pPr>
      <w:r>
        <w:rPr>
          <w:rFonts w:hint="eastAsia" w:ascii="仿宋" w:hAnsi="仿宋" w:eastAsia="仿宋" w:cs="仿宋"/>
          <w:snapToGrid w:val="0"/>
          <w:color w:val="auto"/>
          <w:kern w:val="0"/>
          <w:sz w:val="24"/>
          <w:highlight w:val="none"/>
        </w:rPr>
        <w:t>9、企业资质条件：</w:t>
      </w:r>
      <w:r>
        <w:rPr>
          <w:rFonts w:hint="eastAsia" w:ascii="仿宋" w:hAnsi="仿宋" w:eastAsia="仿宋" w:cs="仿宋"/>
          <w:color w:val="auto"/>
          <w:sz w:val="24"/>
          <w:highlight w:val="none"/>
        </w:rPr>
        <w:t>具有独立法人资格和</w:t>
      </w:r>
      <w:r>
        <w:rPr>
          <w:rFonts w:hint="eastAsia" w:ascii="仿宋" w:hAnsi="仿宋" w:eastAsia="仿宋" w:cs="仿宋"/>
          <w:b/>
          <w:color w:val="auto"/>
          <w:sz w:val="24"/>
          <w:highlight w:val="none"/>
          <w:u w:val="single"/>
        </w:rPr>
        <w:t>建筑工程施工总承包三级及以上资质，</w:t>
      </w:r>
      <w:r>
        <w:rPr>
          <w:rFonts w:hint="eastAsia" w:ascii="仿宋" w:hAnsi="仿宋" w:eastAsia="仿宋" w:cs="仿宋"/>
          <w:color w:val="auto"/>
          <w:sz w:val="24"/>
          <w:highlight w:val="none"/>
        </w:rPr>
        <w:t>并在人员、设备、资金等方面具有相应的施工能力。</w:t>
      </w:r>
    </w:p>
    <w:p>
      <w:pPr>
        <w:pStyle w:val="2"/>
        <w:ind w:firstLine="480" w:firstLineChars="200"/>
        <w:rPr>
          <w:color w:val="auto"/>
          <w:highlight w:val="none"/>
        </w:rPr>
      </w:pPr>
      <w:r>
        <w:rPr>
          <w:rFonts w:hint="eastAsia" w:ascii="仿宋" w:hAnsi="仿宋" w:eastAsia="仿宋" w:cs="仿宋"/>
          <w:snapToGrid w:val="0"/>
          <w:color w:val="auto"/>
          <w:kern w:val="0"/>
          <w:sz w:val="24"/>
          <w:highlight w:val="none"/>
        </w:rPr>
        <w:t>1</w:t>
      </w:r>
      <w:r>
        <w:rPr>
          <w:rFonts w:hint="eastAsia" w:ascii="仿宋" w:hAnsi="仿宋" w:eastAsia="仿宋" w:cs="仿宋"/>
          <w:snapToGrid w:val="0"/>
          <w:color w:val="auto"/>
          <w:kern w:val="0"/>
          <w:sz w:val="24"/>
          <w:highlight w:val="none"/>
          <w:lang w:val="en-US" w:eastAsia="zh-CN"/>
        </w:rPr>
        <w:t>0</w:t>
      </w:r>
      <w:r>
        <w:rPr>
          <w:rFonts w:hint="eastAsia" w:ascii="仿宋" w:hAnsi="仿宋" w:eastAsia="仿宋" w:cs="仿宋"/>
          <w:snapToGrid w:val="0"/>
          <w:color w:val="auto"/>
          <w:kern w:val="0"/>
          <w:sz w:val="24"/>
          <w:highlight w:val="none"/>
        </w:rPr>
        <w:t>、拟派项目负责人及授权委托人为投标企业正式人员证明材料复印件（必须提供：①投标企业与项目负责人、授权委托人双方签订的有效劳动合同书；②社保机构出具的由企业为拟派项目负责人、授权委托人缴纳的202</w:t>
      </w:r>
      <w:r>
        <w:rPr>
          <w:rFonts w:hint="eastAsia" w:ascii="仿宋" w:hAnsi="仿宋" w:eastAsia="仿宋" w:cs="仿宋"/>
          <w:snapToGrid w:val="0"/>
          <w:color w:val="auto"/>
          <w:kern w:val="0"/>
          <w:sz w:val="24"/>
          <w:highlight w:val="none"/>
          <w:lang w:val="en-US" w:eastAsia="zh-CN"/>
        </w:rPr>
        <w:t>1</w:t>
      </w:r>
      <w:r>
        <w:rPr>
          <w:rFonts w:hint="eastAsia" w:ascii="仿宋" w:hAnsi="仿宋" w:eastAsia="仿宋" w:cs="仿宋"/>
          <w:snapToGrid w:val="0"/>
          <w:color w:val="auto"/>
          <w:kern w:val="0"/>
          <w:sz w:val="24"/>
          <w:highlight w:val="none"/>
        </w:rPr>
        <w:t>年</w:t>
      </w:r>
      <w:r>
        <w:rPr>
          <w:rFonts w:hint="eastAsia" w:ascii="仿宋" w:hAnsi="仿宋" w:eastAsia="仿宋" w:cs="仿宋"/>
          <w:snapToGrid w:val="0"/>
          <w:color w:val="auto"/>
          <w:kern w:val="0"/>
          <w:sz w:val="24"/>
          <w:highlight w:val="none"/>
          <w:lang w:val="en-US" w:eastAsia="zh-CN"/>
        </w:rPr>
        <w:t>7</w:t>
      </w:r>
      <w:r>
        <w:rPr>
          <w:rFonts w:hint="eastAsia" w:ascii="仿宋" w:hAnsi="仿宋" w:eastAsia="仿宋" w:cs="仿宋"/>
          <w:snapToGrid w:val="0"/>
          <w:color w:val="auto"/>
          <w:kern w:val="0"/>
          <w:sz w:val="24"/>
          <w:highlight w:val="none"/>
        </w:rPr>
        <w:t>月至2021年</w:t>
      </w:r>
      <w:r>
        <w:rPr>
          <w:rFonts w:hint="eastAsia" w:ascii="仿宋" w:hAnsi="仿宋" w:eastAsia="仿宋" w:cs="仿宋"/>
          <w:snapToGrid w:val="0"/>
          <w:color w:val="auto"/>
          <w:kern w:val="0"/>
          <w:sz w:val="24"/>
          <w:highlight w:val="none"/>
          <w:lang w:val="en-US" w:eastAsia="zh-CN"/>
        </w:rPr>
        <w:t>9</w:t>
      </w:r>
      <w:r>
        <w:rPr>
          <w:rFonts w:hint="eastAsia" w:ascii="仿宋" w:hAnsi="仿宋" w:eastAsia="仿宋" w:cs="仿宋"/>
          <w:snapToGrid w:val="0"/>
          <w:color w:val="auto"/>
          <w:kern w:val="0"/>
          <w:sz w:val="24"/>
          <w:highlight w:val="none"/>
        </w:rPr>
        <w:t>月连续</w:t>
      </w:r>
      <w:r>
        <w:rPr>
          <w:rFonts w:hint="eastAsia" w:ascii="仿宋" w:hAnsi="仿宋" w:eastAsia="仿宋" w:cs="仿宋"/>
          <w:snapToGrid w:val="0"/>
          <w:color w:val="auto"/>
          <w:kern w:val="0"/>
          <w:sz w:val="24"/>
          <w:highlight w:val="none"/>
          <w:lang w:val="en-US" w:eastAsia="zh-CN"/>
        </w:rPr>
        <w:t>3</w:t>
      </w:r>
      <w:r>
        <w:rPr>
          <w:rFonts w:hint="eastAsia" w:ascii="仿宋" w:hAnsi="仿宋" w:eastAsia="仿宋" w:cs="仿宋"/>
          <w:snapToGrid w:val="0"/>
          <w:color w:val="auto"/>
          <w:kern w:val="0"/>
          <w:sz w:val="24"/>
          <w:highlight w:val="none"/>
        </w:rPr>
        <w:t>个月的养老保险缴费清单）；</w:t>
      </w:r>
    </w:p>
    <w:p>
      <w:pPr>
        <w:spacing w:line="460" w:lineRule="exact"/>
        <w:ind w:firstLine="480" w:firstLineChars="200"/>
        <w:rPr>
          <w:rFonts w:ascii="仿宋" w:hAnsi="仿宋" w:eastAsia="仿宋" w:cs="宋体"/>
          <w:b/>
          <w:bCs/>
          <w:color w:val="auto"/>
          <w:sz w:val="32"/>
          <w:szCs w:val="32"/>
          <w:highlight w:val="none"/>
        </w:rPr>
      </w:pPr>
      <w:r>
        <w:rPr>
          <w:rFonts w:hint="eastAsia" w:ascii="仿宋" w:hAnsi="仿宋" w:eastAsia="仿宋" w:cs="宋体"/>
          <w:color w:val="auto"/>
          <w:sz w:val="24"/>
          <w:szCs w:val="24"/>
          <w:highlight w:val="none"/>
        </w:rPr>
        <w:t>1</w:t>
      </w:r>
      <w:r>
        <w:rPr>
          <w:rFonts w:hint="eastAsia" w:ascii="仿宋" w:hAnsi="仿宋" w:eastAsia="仿宋" w:cs="宋体"/>
          <w:color w:val="auto"/>
          <w:sz w:val="24"/>
          <w:szCs w:val="24"/>
          <w:highlight w:val="none"/>
          <w:lang w:val="en-US" w:eastAsia="zh-CN"/>
        </w:rPr>
        <w:t>1</w:t>
      </w:r>
      <w:r>
        <w:rPr>
          <w:rFonts w:hint="eastAsia" w:ascii="仿宋" w:hAnsi="仿宋" w:eastAsia="仿宋" w:cs="宋体"/>
          <w:color w:val="auto"/>
          <w:sz w:val="24"/>
          <w:szCs w:val="24"/>
          <w:highlight w:val="none"/>
        </w:rPr>
        <w:t>、谈判文件要求的其他资料。</w:t>
      </w:r>
    </w:p>
    <w:p>
      <w:pPr>
        <w:spacing w:line="46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注明：以上需要提供相关证明及证件的原件带至开标现场备查。未提供响应者经评标委员会核实后资格审查不予通过。</w:t>
      </w:r>
    </w:p>
    <w:p>
      <w:pPr>
        <w:snapToGrid w:val="0"/>
        <w:spacing w:line="420" w:lineRule="exact"/>
        <w:ind w:firstLine="2570" w:firstLineChars="800"/>
        <w:outlineLvl w:val="4"/>
        <w:rPr>
          <w:rFonts w:ascii="仿宋" w:hAnsi="仿宋" w:eastAsia="仿宋" w:cs="宋体"/>
          <w:color w:val="auto"/>
          <w:sz w:val="24"/>
          <w:szCs w:val="24"/>
          <w:highlight w:val="none"/>
        </w:rPr>
      </w:pPr>
      <w:r>
        <w:rPr>
          <w:rFonts w:ascii="仿宋" w:hAnsi="仿宋" w:eastAsia="仿宋" w:cs="宋体"/>
          <w:b/>
          <w:bCs/>
          <w:color w:val="auto"/>
          <w:sz w:val="32"/>
          <w:szCs w:val="32"/>
          <w:highlight w:val="none"/>
        </w:rPr>
        <w:br w:type="page"/>
      </w:r>
      <w:r>
        <w:rPr>
          <w:rFonts w:hint="eastAsia" w:ascii="仿宋" w:hAnsi="仿宋" w:eastAsia="仿宋" w:cs="宋体"/>
          <w:b/>
          <w:bCs/>
          <w:color w:val="auto"/>
          <w:sz w:val="32"/>
          <w:szCs w:val="32"/>
          <w:highlight w:val="none"/>
        </w:rPr>
        <w:t>1、法定代表人身份证明</w:t>
      </w:r>
    </w:p>
    <w:p>
      <w:pPr>
        <w:snapToGrid w:val="0"/>
        <w:spacing w:line="420" w:lineRule="exact"/>
        <w:rPr>
          <w:rFonts w:ascii="仿宋" w:hAnsi="仿宋" w:eastAsia="仿宋" w:cs="Times New Roman"/>
          <w:color w:val="auto"/>
          <w:sz w:val="24"/>
          <w:szCs w:val="24"/>
          <w:highlight w:val="none"/>
        </w:rPr>
      </w:pPr>
    </w:p>
    <w:p>
      <w:pPr>
        <w:snapToGrid w:val="0"/>
        <w:spacing w:line="420" w:lineRule="exact"/>
        <w:jc w:val="center"/>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u w:val="single"/>
        </w:rPr>
        <w:t xml:space="preserve">          先生／女士：</w:t>
      </w:r>
      <w:r>
        <w:rPr>
          <w:rFonts w:hint="eastAsia" w:ascii="仿宋" w:hAnsi="仿宋" w:eastAsia="仿宋" w:cs="Times New Roman"/>
          <w:color w:val="auto"/>
          <w:sz w:val="24"/>
          <w:szCs w:val="24"/>
          <w:highlight w:val="none"/>
        </w:rPr>
        <w:t>现任我单位</w:t>
      </w:r>
      <w:r>
        <w:rPr>
          <w:rFonts w:hint="eastAsia" w:ascii="仿宋" w:hAnsi="仿宋" w:eastAsia="仿宋" w:cs="Times New Roman"/>
          <w:color w:val="auto"/>
          <w:sz w:val="24"/>
          <w:szCs w:val="24"/>
          <w:highlight w:val="none"/>
          <w:u w:val="single"/>
        </w:rPr>
        <w:t>　　　　　　　</w:t>
      </w:r>
      <w:r>
        <w:rPr>
          <w:rFonts w:hint="eastAsia" w:ascii="仿宋" w:hAnsi="仿宋" w:eastAsia="仿宋" w:cs="Times New Roman"/>
          <w:color w:val="auto"/>
          <w:sz w:val="24"/>
          <w:szCs w:val="24"/>
          <w:highlight w:val="none"/>
        </w:rPr>
        <w:t>职务，为法定代表人，特此证明。</w:t>
      </w:r>
    </w:p>
    <w:p>
      <w:pPr>
        <w:snapToGrid w:val="0"/>
        <w:spacing w:line="420" w:lineRule="exact"/>
        <w:jc w:val="left"/>
        <w:rPr>
          <w:rFonts w:ascii="仿宋" w:hAnsi="仿宋" w:eastAsia="仿宋" w:cs="Times New Roman"/>
          <w:color w:val="auto"/>
          <w:sz w:val="24"/>
          <w:szCs w:val="24"/>
          <w:highlight w:val="none"/>
          <w:u w:val="single"/>
        </w:rPr>
      </w:pPr>
      <w:r>
        <w:rPr>
          <w:rFonts w:hint="eastAsia" w:ascii="仿宋" w:hAnsi="仿宋" w:eastAsia="仿宋" w:cs="Times New Roman"/>
          <w:color w:val="auto"/>
          <w:sz w:val="24"/>
          <w:szCs w:val="24"/>
          <w:highlight w:val="none"/>
        </w:rPr>
        <w:t>身份证号码：</w:t>
      </w:r>
    </w:p>
    <w:p>
      <w:pPr>
        <w:snapToGrid w:val="0"/>
        <w:spacing w:line="420" w:lineRule="exact"/>
        <w:jc w:val="left"/>
        <w:rPr>
          <w:rFonts w:ascii="仿宋" w:hAnsi="仿宋" w:eastAsia="仿宋" w:cs="Times New Roman"/>
          <w:color w:val="auto"/>
          <w:sz w:val="24"/>
          <w:szCs w:val="24"/>
          <w:highlight w:val="none"/>
          <w:u w:val="single"/>
        </w:rPr>
      </w:pPr>
    </w:p>
    <w:p>
      <w:pPr>
        <w:snapToGrid w:val="0"/>
        <w:spacing w:line="420" w:lineRule="exact"/>
        <w:ind w:firstLine="484" w:firstLineChars="202"/>
        <w:jc w:val="right"/>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谈判供应商（盖章）</w:t>
      </w:r>
    </w:p>
    <w:p>
      <w:pPr>
        <w:snapToGrid w:val="0"/>
        <w:spacing w:line="420" w:lineRule="exact"/>
        <w:ind w:firstLine="484" w:firstLineChars="202"/>
        <w:jc w:val="right"/>
        <w:rPr>
          <w:rFonts w:ascii="仿宋" w:hAnsi="仿宋" w:eastAsia="仿宋" w:cs="Times New Roman"/>
          <w:bCs/>
          <w:color w:val="auto"/>
          <w:sz w:val="24"/>
          <w:szCs w:val="24"/>
          <w:highlight w:val="none"/>
        </w:rPr>
      </w:pPr>
      <w:r>
        <w:rPr>
          <w:rFonts w:hint="eastAsia" w:ascii="仿宋" w:hAnsi="仿宋" w:eastAsia="仿宋" w:cs="Times New Roman"/>
          <w:bCs/>
          <w:color w:val="auto"/>
          <w:sz w:val="24"/>
          <w:szCs w:val="24"/>
          <w:highlight w:val="none"/>
        </w:rPr>
        <w:t>年    月    日</w:t>
      </w:r>
    </w:p>
    <w:p>
      <w:pPr>
        <w:snapToGrid w:val="0"/>
        <w:spacing w:line="420" w:lineRule="exact"/>
        <w:jc w:val="center"/>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注：提供法定代表人的身份证复印件并加盖公章</w:t>
      </w:r>
    </w:p>
    <w:p>
      <w:pPr>
        <w:snapToGrid w:val="0"/>
        <w:spacing w:line="420" w:lineRule="exact"/>
        <w:jc w:val="center"/>
        <w:rPr>
          <w:rFonts w:ascii="仿宋" w:hAnsi="仿宋" w:eastAsia="仿宋" w:cs="Times New Roman"/>
          <w:color w:val="auto"/>
          <w:sz w:val="24"/>
          <w:szCs w:val="24"/>
          <w:highlight w:val="none"/>
        </w:rPr>
      </w:pPr>
    </w:p>
    <w:p>
      <w:pPr>
        <w:snapToGrid w:val="0"/>
        <w:spacing w:line="420" w:lineRule="exact"/>
        <w:jc w:val="center"/>
        <w:outlineLvl w:val="4"/>
        <w:rPr>
          <w:rFonts w:ascii="仿宋" w:hAnsi="仿宋" w:eastAsia="仿宋" w:cs="Times New Roman"/>
          <w:b/>
          <w:bCs/>
          <w:color w:val="auto"/>
          <w:sz w:val="24"/>
          <w:szCs w:val="24"/>
          <w:highlight w:val="none"/>
        </w:rPr>
      </w:pPr>
    </w:p>
    <w:p>
      <w:pPr>
        <w:snapToGrid w:val="0"/>
        <w:spacing w:line="420" w:lineRule="exact"/>
        <w:jc w:val="center"/>
        <w:outlineLvl w:val="4"/>
        <w:rPr>
          <w:rFonts w:ascii="仿宋" w:hAnsi="仿宋" w:eastAsia="仿宋" w:cs="Times New Roman"/>
          <w:b/>
          <w:bCs/>
          <w:color w:val="auto"/>
          <w:sz w:val="24"/>
          <w:szCs w:val="24"/>
          <w:highlight w:val="none"/>
        </w:rPr>
      </w:pPr>
    </w:p>
    <w:p>
      <w:pPr>
        <w:snapToGrid w:val="0"/>
        <w:spacing w:line="420" w:lineRule="exact"/>
        <w:jc w:val="center"/>
        <w:outlineLvl w:val="4"/>
        <w:rPr>
          <w:rFonts w:ascii="仿宋" w:hAnsi="仿宋" w:eastAsia="仿宋" w:cs="Times New Roman"/>
          <w:b/>
          <w:bCs/>
          <w:color w:val="auto"/>
          <w:sz w:val="24"/>
          <w:szCs w:val="24"/>
          <w:highlight w:val="none"/>
        </w:rPr>
      </w:pPr>
    </w:p>
    <w:p>
      <w:pPr>
        <w:snapToGrid w:val="0"/>
        <w:spacing w:line="420" w:lineRule="exact"/>
        <w:jc w:val="center"/>
        <w:outlineLvl w:val="4"/>
        <w:rPr>
          <w:rFonts w:ascii="仿宋" w:hAnsi="仿宋" w:eastAsia="仿宋" w:cs="Times New Roman"/>
          <w:b/>
          <w:bCs/>
          <w:color w:val="auto"/>
          <w:sz w:val="24"/>
          <w:szCs w:val="24"/>
          <w:highlight w:val="none"/>
        </w:rPr>
      </w:pPr>
    </w:p>
    <w:p>
      <w:pPr>
        <w:snapToGrid w:val="0"/>
        <w:spacing w:line="420" w:lineRule="exact"/>
        <w:jc w:val="center"/>
        <w:outlineLvl w:val="4"/>
        <w:rPr>
          <w:rFonts w:ascii="仿宋" w:hAnsi="仿宋" w:eastAsia="仿宋" w:cs="宋体"/>
          <w:b/>
          <w:bCs/>
          <w:color w:val="auto"/>
          <w:sz w:val="32"/>
          <w:szCs w:val="32"/>
          <w:highlight w:val="none"/>
        </w:rPr>
      </w:pPr>
      <w:r>
        <w:rPr>
          <w:rFonts w:hint="eastAsia" w:ascii="仿宋" w:hAnsi="仿宋" w:eastAsia="仿宋" w:cs="宋体"/>
          <w:b/>
          <w:bCs/>
          <w:color w:val="auto"/>
          <w:sz w:val="32"/>
          <w:szCs w:val="32"/>
          <w:highlight w:val="none"/>
        </w:rPr>
        <w:t>2、法定代表人授权委托书</w:t>
      </w:r>
    </w:p>
    <w:p>
      <w:pPr>
        <w:snapToGrid w:val="0"/>
        <w:spacing w:line="420" w:lineRule="exact"/>
        <w:ind w:firstLine="484" w:firstLineChars="202"/>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本授权委托书声明：我</w:t>
      </w:r>
      <w:r>
        <w:rPr>
          <w:rFonts w:hint="eastAsia" w:ascii="仿宋" w:hAnsi="仿宋" w:eastAsia="仿宋" w:cs="Times New Roman"/>
          <w:color w:val="auto"/>
          <w:sz w:val="24"/>
          <w:szCs w:val="24"/>
          <w:highlight w:val="none"/>
          <w:u w:val="single"/>
        </w:rPr>
        <w:t>　　   　</w:t>
      </w:r>
      <w:r>
        <w:rPr>
          <w:rFonts w:hint="eastAsia" w:ascii="仿宋" w:hAnsi="仿宋" w:eastAsia="仿宋" w:cs="Times New Roman"/>
          <w:color w:val="auto"/>
          <w:sz w:val="24"/>
          <w:szCs w:val="24"/>
          <w:highlight w:val="none"/>
        </w:rPr>
        <w:t>（姓名）系</w:t>
      </w:r>
      <w:r>
        <w:rPr>
          <w:rFonts w:hint="eastAsia" w:ascii="仿宋" w:hAnsi="仿宋" w:eastAsia="仿宋" w:cs="Times New Roman"/>
          <w:color w:val="auto"/>
          <w:sz w:val="24"/>
          <w:szCs w:val="24"/>
          <w:highlight w:val="none"/>
          <w:u w:val="single"/>
        </w:rPr>
        <w:t>　　  　</w:t>
      </w:r>
      <w:r>
        <w:rPr>
          <w:rFonts w:hint="eastAsia" w:ascii="仿宋" w:hAnsi="仿宋" w:eastAsia="仿宋" w:cs="Times New Roman"/>
          <w:color w:val="auto"/>
          <w:sz w:val="24"/>
          <w:szCs w:val="24"/>
          <w:highlight w:val="none"/>
        </w:rPr>
        <w:t>（供应商名称）的法定代表人，现授权委托　　   （姓名）为我公司代理人，以本公司的名义参加本项目的谈判响应活动。代理人在开标、评标、合同谈判过程中所签署的一切文件和处理与之有关的一切事务，我均予以承认。</w:t>
      </w:r>
    </w:p>
    <w:p>
      <w:pPr>
        <w:snapToGrid w:val="0"/>
        <w:spacing w:line="420" w:lineRule="exact"/>
        <w:ind w:firstLine="484" w:firstLineChars="202"/>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被委托授权人无转委权。特此委托。</w:t>
      </w:r>
    </w:p>
    <w:p>
      <w:pPr>
        <w:snapToGrid w:val="0"/>
        <w:spacing w:line="420" w:lineRule="exact"/>
        <w:ind w:firstLine="972" w:firstLineChars="405"/>
        <w:rPr>
          <w:rFonts w:ascii="仿宋" w:hAnsi="仿宋" w:eastAsia="仿宋" w:cs="Times New Roman"/>
          <w:color w:val="auto"/>
          <w:sz w:val="24"/>
          <w:szCs w:val="24"/>
          <w:highlight w:val="none"/>
        </w:rPr>
      </w:pPr>
    </w:p>
    <w:p>
      <w:pPr>
        <w:snapToGrid w:val="0"/>
        <w:spacing w:line="420" w:lineRule="exact"/>
        <w:ind w:firstLine="972" w:firstLineChars="405"/>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被委托授权人身份证号：</w:t>
      </w:r>
    </w:p>
    <w:p>
      <w:pPr>
        <w:snapToGrid w:val="0"/>
        <w:spacing w:line="420" w:lineRule="exact"/>
        <w:ind w:firstLine="972" w:firstLineChars="405"/>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法定代表人签字：</w:t>
      </w:r>
    </w:p>
    <w:p>
      <w:pPr>
        <w:snapToGrid w:val="0"/>
        <w:spacing w:line="420" w:lineRule="exact"/>
        <w:ind w:firstLine="972" w:firstLineChars="405"/>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被委托授权人签字：</w:t>
      </w:r>
    </w:p>
    <w:p>
      <w:pPr>
        <w:snapToGrid w:val="0"/>
        <w:spacing w:line="420" w:lineRule="exact"/>
        <w:ind w:firstLine="972" w:firstLineChars="405"/>
        <w:rPr>
          <w:rFonts w:ascii="仿宋" w:hAnsi="仿宋" w:eastAsia="仿宋" w:cs="Times New Roman"/>
          <w:color w:val="auto"/>
          <w:sz w:val="24"/>
          <w:szCs w:val="24"/>
          <w:highlight w:val="none"/>
        </w:rPr>
      </w:pPr>
    </w:p>
    <w:p>
      <w:pPr>
        <w:snapToGrid w:val="0"/>
        <w:spacing w:line="420" w:lineRule="exact"/>
        <w:ind w:firstLine="484" w:firstLineChars="202"/>
        <w:jc w:val="right"/>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谈判供应商（盖章）</w:t>
      </w:r>
    </w:p>
    <w:p>
      <w:pPr>
        <w:snapToGrid w:val="0"/>
        <w:spacing w:line="420" w:lineRule="exact"/>
        <w:ind w:firstLine="484" w:firstLineChars="202"/>
        <w:jc w:val="right"/>
        <w:rPr>
          <w:rFonts w:ascii="仿宋" w:hAnsi="仿宋" w:eastAsia="仿宋" w:cs="Times New Roman"/>
          <w:bCs/>
          <w:color w:val="auto"/>
          <w:sz w:val="24"/>
          <w:szCs w:val="24"/>
          <w:highlight w:val="none"/>
        </w:rPr>
      </w:pPr>
      <w:r>
        <w:rPr>
          <w:rFonts w:hint="eastAsia" w:ascii="仿宋" w:hAnsi="仿宋" w:eastAsia="仿宋" w:cs="Times New Roman"/>
          <w:bCs/>
          <w:color w:val="auto"/>
          <w:sz w:val="24"/>
          <w:szCs w:val="24"/>
          <w:highlight w:val="none"/>
        </w:rPr>
        <w:t>年    月    日</w:t>
      </w:r>
    </w:p>
    <w:p>
      <w:pPr>
        <w:snapToGrid w:val="0"/>
        <w:spacing w:line="420" w:lineRule="exact"/>
        <w:ind w:firstLine="321" w:firstLineChars="134"/>
        <w:jc w:val="center"/>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注：提供被委托授权人的身份证复印件盖公章，将身份证原件带至谈判现场备查</w:t>
      </w:r>
    </w:p>
    <w:p>
      <w:pPr>
        <w:snapToGrid w:val="0"/>
        <w:spacing w:line="420" w:lineRule="exact"/>
        <w:ind w:firstLine="321" w:firstLineChars="134"/>
        <w:jc w:val="center"/>
        <w:rPr>
          <w:rFonts w:ascii="仿宋" w:hAnsi="仿宋" w:eastAsia="仿宋" w:cs="Times New Roman"/>
          <w:color w:val="auto"/>
          <w:sz w:val="24"/>
          <w:szCs w:val="24"/>
          <w:highlight w:val="none"/>
        </w:rPr>
      </w:pPr>
    </w:p>
    <w:p>
      <w:pPr>
        <w:snapToGrid w:val="0"/>
        <w:spacing w:line="420" w:lineRule="exact"/>
        <w:jc w:val="center"/>
        <w:outlineLvl w:val="4"/>
        <w:rPr>
          <w:rFonts w:ascii="仿宋" w:hAnsi="仿宋" w:eastAsia="仿宋" w:cs="Times New Roman"/>
          <w:b/>
          <w:bCs/>
          <w:color w:val="auto"/>
          <w:sz w:val="24"/>
          <w:szCs w:val="24"/>
          <w:highlight w:val="none"/>
        </w:rPr>
      </w:pPr>
    </w:p>
    <w:p>
      <w:pPr>
        <w:snapToGrid w:val="0"/>
        <w:spacing w:line="420" w:lineRule="exact"/>
        <w:jc w:val="center"/>
        <w:outlineLvl w:val="4"/>
        <w:rPr>
          <w:rFonts w:ascii="仿宋" w:hAnsi="仿宋" w:eastAsia="仿宋" w:cs="Times New Roman"/>
          <w:b/>
          <w:bCs/>
          <w:color w:val="auto"/>
          <w:sz w:val="24"/>
          <w:szCs w:val="24"/>
          <w:highlight w:val="none"/>
        </w:rPr>
      </w:pPr>
    </w:p>
    <w:p>
      <w:pPr>
        <w:snapToGrid w:val="0"/>
        <w:spacing w:line="420" w:lineRule="exact"/>
        <w:jc w:val="center"/>
        <w:outlineLvl w:val="4"/>
        <w:rPr>
          <w:rFonts w:ascii="仿宋" w:hAnsi="仿宋" w:eastAsia="仿宋" w:cs="Times New Roman"/>
          <w:b/>
          <w:bCs/>
          <w:color w:val="auto"/>
          <w:sz w:val="24"/>
          <w:szCs w:val="24"/>
          <w:highlight w:val="none"/>
        </w:rPr>
      </w:pPr>
    </w:p>
    <w:p>
      <w:pPr>
        <w:snapToGrid w:val="0"/>
        <w:spacing w:line="420" w:lineRule="exact"/>
        <w:jc w:val="center"/>
        <w:outlineLvl w:val="4"/>
        <w:rPr>
          <w:rFonts w:ascii="仿宋" w:hAnsi="仿宋" w:eastAsia="仿宋" w:cs="Times New Roman"/>
          <w:b/>
          <w:bCs/>
          <w:color w:val="auto"/>
          <w:sz w:val="24"/>
          <w:szCs w:val="24"/>
          <w:highlight w:val="none"/>
        </w:rPr>
      </w:pPr>
    </w:p>
    <w:p>
      <w:pPr>
        <w:snapToGrid w:val="0"/>
        <w:spacing w:line="420" w:lineRule="exact"/>
        <w:jc w:val="center"/>
        <w:outlineLvl w:val="4"/>
        <w:rPr>
          <w:rFonts w:ascii="仿宋" w:hAnsi="仿宋" w:eastAsia="仿宋" w:cs="宋体"/>
          <w:b/>
          <w:bCs/>
          <w:color w:val="auto"/>
          <w:sz w:val="32"/>
          <w:szCs w:val="32"/>
          <w:highlight w:val="none"/>
        </w:rPr>
      </w:pPr>
    </w:p>
    <w:p>
      <w:pPr>
        <w:snapToGrid w:val="0"/>
        <w:spacing w:line="420" w:lineRule="exact"/>
        <w:jc w:val="center"/>
        <w:outlineLvl w:val="4"/>
        <w:rPr>
          <w:rFonts w:ascii="仿宋" w:hAnsi="仿宋" w:eastAsia="仿宋" w:cs="宋体"/>
          <w:b/>
          <w:bCs/>
          <w:color w:val="auto"/>
          <w:sz w:val="32"/>
          <w:szCs w:val="32"/>
          <w:highlight w:val="none"/>
        </w:rPr>
      </w:pPr>
    </w:p>
    <w:p>
      <w:pPr>
        <w:snapToGrid w:val="0"/>
        <w:spacing w:line="420" w:lineRule="exact"/>
        <w:jc w:val="center"/>
        <w:outlineLvl w:val="4"/>
        <w:rPr>
          <w:rFonts w:ascii="仿宋" w:hAnsi="仿宋" w:eastAsia="仿宋" w:cs="宋体"/>
          <w:b/>
          <w:bCs/>
          <w:color w:val="auto"/>
          <w:sz w:val="32"/>
          <w:szCs w:val="32"/>
          <w:highlight w:val="none"/>
        </w:rPr>
      </w:pPr>
      <w:r>
        <w:rPr>
          <w:rFonts w:hint="eastAsia" w:ascii="仿宋" w:hAnsi="仿宋" w:eastAsia="仿宋" w:cs="宋体"/>
          <w:b/>
          <w:bCs/>
          <w:color w:val="auto"/>
          <w:sz w:val="32"/>
          <w:szCs w:val="32"/>
          <w:highlight w:val="none"/>
        </w:rPr>
        <w:t>3、关于资格文件的声明函</w:t>
      </w:r>
    </w:p>
    <w:p>
      <w:pPr>
        <w:snapToGrid w:val="0"/>
        <w:spacing w:line="420" w:lineRule="exact"/>
        <w:jc w:val="center"/>
        <w:outlineLvl w:val="4"/>
        <w:rPr>
          <w:rFonts w:ascii="仿宋" w:hAnsi="仿宋" w:eastAsia="仿宋" w:cs="宋体"/>
          <w:b/>
          <w:bCs/>
          <w:color w:val="auto"/>
          <w:sz w:val="24"/>
          <w:szCs w:val="24"/>
          <w:highlight w:val="none"/>
        </w:rPr>
      </w:pPr>
    </w:p>
    <w:p>
      <w:pPr>
        <w:snapToGrid w:val="0"/>
        <w:spacing w:line="420" w:lineRule="exact"/>
        <w:jc w:val="center"/>
        <w:outlineLvl w:val="4"/>
        <w:rPr>
          <w:rFonts w:ascii="仿宋" w:hAnsi="仿宋" w:eastAsia="仿宋" w:cs="宋体"/>
          <w:color w:val="auto"/>
          <w:sz w:val="24"/>
          <w:szCs w:val="24"/>
          <w:highlight w:val="none"/>
        </w:rPr>
      </w:pPr>
    </w:p>
    <w:p>
      <w:pPr>
        <w:overflowPunct w:val="0"/>
        <w:adjustRightInd w:val="0"/>
        <w:spacing w:line="480" w:lineRule="exact"/>
        <w:ind w:firstLine="720" w:firstLineChars="300"/>
        <w:jc w:val="left"/>
        <w:textAlignment w:val="baseline"/>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本公司愿就由贵公司组织实施的编号为项目的谈判活动进行谈判响应。本公司所提交的谈判响应文件中所有关于资格的文件、证明和陈述均是真实的、准确的。若与真实情况不符，本公司愿意承担由此而产生的一切后果。</w:t>
      </w:r>
    </w:p>
    <w:p>
      <w:pPr>
        <w:overflowPunct w:val="0"/>
        <w:adjustRightInd w:val="0"/>
        <w:spacing w:line="420" w:lineRule="exact"/>
        <w:ind w:firstLine="420"/>
        <w:jc w:val="right"/>
        <w:textAlignment w:val="baseline"/>
        <w:rPr>
          <w:rFonts w:ascii="仿宋" w:hAnsi="仿宋" w:eastAsia="仿宋" w:cs="Times New Roman"/>
          <w:color w:val="auto"/>
          <w:sz w:val="24"/>
          <w:szCs w:val="24"/>
          <w:highlight w:val="none"/>
        </w:rPr>
      </w:pPr>
    </w:p>
    <w:p>
      <w:pPr>
        <w:overflowPunct w:val="0"/>
        <w:adjustRightInd w:val="0"/>
        <w:spacing w:line="420" w:lineRule="exact"/>
        <w:ind w:firstLine="420"/>
        <w:jc w:val="right"/>
        <w:textAlignment w:val="baseline"/>
        <w:rPr>
          <w:rFonts w:ascii="仿宋" w:hAnsi="仿宋" w:eastAsia="仿宋" w:cs="Times New Roman"/>
          <w:color w:val="auto"/>
          <w:sz w:val="24"/>
          <w:szCs w:val="24"/>
          <w:highlight w:val="none"/>
        </w:rPr>
      </w:pPr>
    </w:p>
    <w:p>
      <w:pPr>
        <w:ind w:firstLine="645"/>
        <w:rPr>
          <w:rFonts w:ascii="仿宋" w:hAnsi="仿宋" w:eastAsia="仿宋" w:cs="Times New Roman"/>
          <w:color w:val="auto"/>
          <w:sz w:val="24"/>
          <w:szCs w:val="24"/>
          <w:highlight w:val="none"/>
        </w:rPr>
      </w:pPr>
    </w:p>
    <w:p>
      <w:pPr>
        <w:overflowPunct w:val="0"/>
        <w:adjustRightInd w:val="0"/>
        <w:spacing w:line="420" w:lineRule="exact"/>
        <w:ind w:firstLine="420"/>
        <w:jc w:val="right"/>
        <w:textAlignment w:val="baseline"/>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法定代表人或被委托授权人（签字或盖章）：</w:t>
      </w:r>
    </w:p>
    <w:p>
      <w:pPr>
        <w:ind w:firstLine="645"/>
        <w:rPr>
          <w:rFonts w:ascii="仿宋" w:hAnsi="仿宋" w:eastAsia="仿宋" w:cs="Times New Roman"/>
          <w:color w:val="auto"/>
          <w:sz w:val="24"/>
          <w:szCs w:val="24"/>
          <w:highlight w:val="none"/>
        </w:rPr>
      </w:pPr>
    </w:p>
    <w:p>
      <w:pPr>
        <w:overflowPunct w:val="0"/>
        <w:adjustRightInd w:val="0"/>
        <w:spacing w:line="420" w:lineRule="exact"/>
        <w:ind w:left="1700" w:firstLine="425"/>
        <w:jc w:val="left"/>
        <w:textAlignment w:val="baseline"/>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（谈判供应商）公章：</w:t>
      </w:r>
    </w:p>
    <w:p>
      <w:pPr>
        <w:ind w:firstLine="645"/>
        <w:rPr>
          <w:rFonts w:ascii="仿宋" w:hAnsi="仿宋" w:eastAsia="仿宋" w:cs="Times New Roman"/>
          <w:color w:val="auto"/>
          <w:sz w:val="24"/>
          <w:szCs w:val="24"/>
          <w:highlight w:val="none"/>
        </w:rPr>
      </w:pPr>
    </w:p>
    <w:p>
      <w:pPr>
        <w:overflowPunct w:val="0"/>
        <w:adjustRightInd w:val="0"/>
        <w:spacing w:line="420" w:lineRule="exact"/>
        <w:ind w:firstLine="420"/>
        <w:jc w:val="right"/>
        <w:textAlignment w:val="baseline"/>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年</w:t>
      </w:r>
      <w:r>
        <w:rPr>
          <w:rFonts w:hint="eastAsia" w:ascii="仿宋" w:hAnsi="仿宋" w:eastAsia="仿宋" w:cs="Times New Roman"/>
          <w:color w:val="auto"/>
          <w:sz w:val="24"/>
          <w:szCs w:val="24"/>
          <w:highlight w:val="none"/>
        </w:rPr>
        <w:tab/>
      </w:r>
      <w:r>
        <w:rPr>
          <w:rFonts w:hint="eastAsia" w:ascii="仿宋" w:hAnsi="仿宋" w:eastAsia="仿宋" w:cs="Times New Roman"/>
          <w:color w:val="auto"/>
          <w:sz w:val="24"/>
          <w:szCs w:val="24"/>
          <w:highlight w:val="none"/>
        </w:rPr>
        <w:t xml:space="preserve"> 月 日</w:t>
      </w:r>
    </w:p>
    <w:p>
      <w:pPr>
        <w:overflowPunct w:val="0"/>
        <w:adjustRightInd w:val="0"/>
        <w:spacing w:line="420" w:lineRule="exact"/>
        <w:ind w:firstLine="420"/>
        <w:jc w:val="right"/>
        <w:textAlignment w:val="baseline"/>
        <w:rPr>
          <w:rFonts w:ascii="仿宋" w:hAnsi="仿宋" w:eastAsia="仿宋" w:cs="Times New Roman"/>
          <w:color w:val="auto"/>
          <w:sz w:val="24"/>
          <w:szCs w:val="24"/>
          <w:highlight w:val="none"/>
        </w:rPr>
      </w:pPr>
    </w:p>
    <w:p>
      <w:pPr>
        <w:snapToGrid w:val="0"/>
        <w:spacing w:line="420" w:lineRule="exact"/>
        <w:jc w:val="center"/>
        <w:outlineLvl w:val="4"/>
        <w:rPr>
          <w:rFonts w:ascii="仿宋" w:hAnsi="仿宋" w:eastAsia="仿宋" w:cs="Times New Roman"/>
          <w:b/>
          <w:bCs/>
          <w:color w:val="auto"/>
          <w:sz w:val="24"/>
          <w:szCs w:val="24"/>
          <w:highlight w:val="none"/>
        </w:rPr>
      </w:pPr>
    </w:p>
    <w:p>
      <w:pPr>
        <w:snapToGrid w:val="0"/>
        <w:spacing w:line="420" w:lineRule="exact"/>
        <w:jc w:val="center"/>
        <w:outlineLvl w:val="4"/>
        <w:rPr>
          <w:rFonts w:ascii="仿宋" w:hAnsi="仿宋" w:eastAsia="仿宋" w:cs="Times New Roman"/>
          <w:b/>
          <w:bCs/>
          <w:color w:val="auto"/>
          <w:sz w:val="24"/>
          <w:szCs w:val="24"/>
          <w:highlight w:val="none"/>
        </w:rPr>
      </w:pPr>
    </w:p>
    <w:p>
      <w:pPr>
        <w:rPr>
          <w:rFonts w:ascii="仿宋" w:hAnsi="仿宋" w:eastAsia="仿宋" w:cs="Times New Roman"/>
          <w:b/>
          <w:bCs/>
          <w:color w:val="auto"/>
          <w:sz w:val="24"/>
          <w:szCs w:val="24"/>
          <w:highlight w:val="none"/>
        </w:rPr>
      </w:pPr>
    </w:p>
    <w:p>
      <w:pPr>
        <w:rPr>
          <w:rFonts w:ascii="仿宋" w:hAnsi="仿宋" w:eastAsia="仿宋" w:cs="Times New Roman"/>
          <w:b/>
          <w:bCs/>
          <w:color w:val="auto"/>
          <w:sz w:val="24"/>
          <w:szCs w:val="24"/>
          <w:highlight w:val="none"/>
        </w:rPr>
      </w:pPr>
    </w:p>
    <w:p>
      <w:pPr>
        <w:rPr>
          <w:rFonts w:ascii="仿宋" w:hAnsi="仿宋" w:eastAsia="仿宋" w:cs="Times New Roman"/>
          <w:b/>
          <w:bCs/>
          <w:color w:val="auto"/>
          <w:sz w:val="24"/>
          <w:szCs w:val="24"/>
          <w:highlight w:val="none"/>
        </w:rPr>
      </w:pPr>
    </w:p>
    <w:p>
      <w:pPr>
        <w:rPr>
          <w:rFonts w:ascii="仿宋" w:hAnsi="仿宋" w:eastAsia="仿宋" w:cs="Times New Roman"/>
          <w:b/>
          <w:bCs/>
          <w:color w:val="auto"/>
          <w:sz w:val="24"/>
          <w:szCs w:val="24"/>
          <w:highlight w:val="none"/>
        </w:rPr>
      </w:pPr>
    </w:p>
    <w:p>
      <w:pPr>
        <w:rPr>
          <w:rFonts w:ascii="仿宋" w:hAnsi="仿宋" w:eastAsia="仿宋" w:cs="Times New Roman"/>
          <w:b/>
          <w:bCs/>
          <w:color w:val="auto"/>
          <w:sz w:val="24"/>
          <w:szCs w:val="24"/>
          <w:highlight w:val="none"/>
        </w:rPr>
      </w:pPr>
    </w:p>
    <w:p>
      <w:pPr>
        <w:rPr>
          <w:rFonts w:ascii="仿宋" w:hAnsi="仿宋" w:eastAsia="仿宋" w:cs="Times New Roman"/>
          <w:b/>
          <w:bCs/>
          <w:color w:val="auto"/>
          <w:sz w:val="24"/>
          <w:szCs w:val="24"/>
          <w:highlight w:val="none"/>
        </w:rPr>
      </w:pPr>
    </w:p>
    <w:p>
      <w:pPr>
        <w:rPr>
          <w:rFonts w:ascii="仿宋" w:hAnsi="仿宋" w:eastAsia="仿宋" w:cs="Times New Roman"/>
          <w:b/>
          <w:bCs/>
          <w:color w:val="auto"/>
          <w:sz w:val="24"/>
          <w:szCs w:val="24"/>
          <w:highlight w:val="none"/>
        </w:rPr>
      </w:pPr>
    </w:p>
    <w:p>
      <w:pPr>
        <w:rPr>
          <w:rFonts w:ascii="仿宋" w:hAnsi="仿宋" w:eastAsia="仿宋" w:cs="Times New Roman"/>
          <w:b/>
          <w:bCs/>
          <w:color w:val="auto"/>
          <w:sz w:val="24"/>
          <w:szCs w:val="24"/>
          <w:highlight w:val="none"/>
        </w:rPr>
      </w:pPr>
    </w:p>
    <w:p>
      <w:pPr>
        <w:rPr>
          <w:rFonts w:ascii="仿宋" w:hAnsi="仿宋" w:eastAsia="仿宋" w:cs="Times New Roman"/>
          <w:b/>
          <w:bCs/>
          <w:color w:val="auto"/>
          <w:sz w:val="24"/>
          <w:szCs w:val="24"/>
          <w:highlight w:val="none"/>
        </w:rPr>
      </w:pPr>
    </w:p>
    <w:p>
      <w:pPr>
        <w:snapToGrid w:val="0"/>
        <w:spacing w:line="420" w:lineRule="exact"/>
        <w:jc w:val="center"/>
        <w:outlineLvl w:val="4"/>
        <w:rPr>
          <w:rFonts w:ascii="仿宋" w:hAnsi="仿宋" w:eastAsia="仿宋" w:cs="Times New Roman"/>
          <w:b/>
          <w:bCs/>
          <w:color w:val="auto"/>
          <w:sz w:val="24"/>
          <w:szCs w:val="24"/>
          <w:highlight w:val="none"/>
        </w:rPr>
      </w:pPr>
    </w:p>
    <w:bookmarkEnd w:id="129"/>
    <w:bookmarkEnd w:id="130"/>
    <w:bookmarkEnd w:id="131"/>
    <w:p>
      <w:pPr>
        <w:jc w:val="center"/>
        <w:rPr>
          <w:rFonts w:ascii="仿宋" w:hAnsi="仿宋" w:eastAsia="仿宋" w:cs="宋体"/>
          <w:b/>
          <w:bCs/>
          <w:color w:val="auto"/>
          <w:sz w:val="32"/>
          <w:szCs w:val="32"/>
          <w:highlight w:val="none"/>
        </w:rPr>
      </w:pPr>
    </w:p>
    <w:p>
      <w:pPr>
        <w:snapToGrid w:val="0"/>
        <w:spacing w:line="360" w:lineRule="auto"/>
        <w:ind w:firstLine="1263" w:firstLineChars="393"/>
        <w:jc w:val="center"/>
        <w:outlineLvl w:val="4"/>
        <w:rPr>
          <w:rFonts w:ascii="仿宋" w:hAnsi="仿宋" w:eastAsia="仿宋" w:cs="宋体"/>
          <w:b/>
          <w:bCs/>
          <w:color w:val="auto"/>
          <w:sz w:val="32"/>
          <w:szCs w:val="32"/>
          <w:highlight w:val="none"/>
        </w:rPr>
      </w:pPr>
    </w:p>
    <w:p>
      <w:pPr>
        <w:snapToGrid w:val="0"/>
        <w:spacing w:line="360" w:lineRule="auto"/>
        <w:ind w:firstLine="1263" w:firstLineChars="393"/>
        <w:jc w:val="center"/>
        <w:outlineLvl w:val="4"/>
        <w:rPr>
          <w:rFonts w:ascii="仿宋" w:hAnsi="仿宋" w:eastAsia="仿宋" w:cs="Times New Roman"/>
          <w:b/>
          <w:bCs/>
          <w:color w:val="auto"/>
          <w:sz w:val="28"/>
          <w:szCs w:val="28"/>
          <w:highlight w:val="none"/>
        </w:rPr>
      </w:pPr>
      <w:r>
        <w:rPr>
          <w:rFonts w:hint="eastAsia" w:ascii="仿宋" w:hAnsi="仿宋" w:eastAsia="仿宋" w:cs="宋体"/>
          <w:b/>
          <w:bCs/>
          <w:color w:val="auto"/>
          <w:sz w:val="32"/>
          <w:szCs w:val="32"/>
          <w:highlight w:val="none"/>
        </w:rPr>
        <w:t>4、</w:t>
      </w:r>
      <w:bookmarkStart w:id="142" w:name="_Toc482212574"/>
      <w:r>
        <w:rPr>
          <w:rFonts w:hint="eastAsia" w:ascii="仿宋" w:hAnsi="仿宋" w:eastAsia="仿宋" w:cs="Times New Roman"/>
          <w:b/>
          <w:bCs/>
          <w:color w:val="auto"/>
          <w:sz w:val="28"/>
          <w:szCs w:val="28"/>
          <w:highlight w:val="none"/>
        </w:rPr>
        <w:t>履行合同所必需的设备和专业技术能力承诺函</w:t>
      </w:r>
    </w:p>
    <w:p>
      <w:pPr>
        <w:jc w:val="left"/>
        <w:rPr>
          <w:rFonts w:ascii="仿宋" w:hAnsi="仿宋" w:eastAsia="仿宋" w:cs="宋体"/>
          <w:color w:val="auto"/>
          <w:sz w:val="24"/>
          <w:szCs w:val="24"/>
          <w:highlight w:val="none"/>
          <w:u w:val="single"/>
        </w:rPr>
      </w:pPr>
    </w:p>
    <w:p>
      <w:pPr>
        <w:jc w:val="left"/>
        <w:rPr>
          <w:rFonts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u w:val="single"/>
        </w:rPr>
        <w:t>（采购人）</w:t>
      </w:r>
      <w:r>
        <w:rPr>
          <w:rFonts w:hint="eastAsia" w:ascii="仿宋" w:hAnsi="仿宋" w:eastAsia="仿宋" w:cs="Times New Roman"/>
          <w:color w:val="auto"/>
          <w:sz w:val="28"/>
          <w:szCs w:val="28"/>
          <w:highlight w:val="none"/>
        </w:rPr>
        <w:t>：</w:t>
      </w:r>
    </w:p>
    <w:p>
      <w:pPr>
        <w:ind w:firstLine="560"/>
        <w:jc w:val="left"/>
        <w:rPr>
          <w:rFonts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rPr>
        <w:t>我单位（供应商名称）郑重承诺：</w:t>
      </w:r>
    </w:p>
    <w:p>
      <w:pPr>
        <w:ind w:firstLine="560"/>
        <w:jc w:val="left"/>
        <w:rPr>
          <w:rFonts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rPr>
        <w:t>贵方组织的</w:t>
      </w:r>
      <w:r>
        <w:rPr>
          <w:rFonts w:ascii="仿宋" w:hAnsi="仿宋" w:eastAsia="仿宋" w:cs="Times New Roman"/>
          <w:color w:val="auto"/>
          <w:sz w:val="28"/>
          <w:szCs w:val="28"/>
          <w:highlight w:val="none"/>
        </w:rPr>
        <w:t>(</w:t>
      </w:r>
      <w:r>
        <w:rPr>
          <w:rFonts w:hint="eastAsia" w:ascii="仿宋" w:hAnsi="仿宋" w:eastAsia="仿宋" w:cs="Times New Roman"/>
          <w:color w:val="auto"/>
          <w:sz w:val="28"/>
          <w:szCs w:val="28"/>
          <w:highlight w:val="none"/>
        </w:rPr>
        <w:t>项目名称），</w:t>
      </w:r>
      <w:r>
        <w:rPr>
          <w:rFonts w:ascii="仿宋" w:hAnsi="仿宋" w:eastAsia="仿宋" w:cs="Times New Roman"/>
          <w:color w:val="auto"/>
          <w:sz w:val="28"/>
          <w:szCs w:val="28"/>
          <w:highlight w:val="none"/>
        </w:rPr>
        <w:t>(</w:t>
      </w:r>
      <w:r>
        <w:rPr>
          <w:rFonts w:hint="eastAsia" w:ascii="仿宋" w:hAnsi="仿宋" w:eastAsia="仿宋" w:cs="Times New Roman"/>
          <w:color w:val="auto"/>
          <w:sz w:val="28"/>
          <w:szCs w:val="28"/>
          <w:highlight w:val="none"/>
        </w:rPr>
        <w:t>项目编号），我单位</w:t>
      </w:r>
      <w:r>
        <w:rPr>
          <w:rFonts w:ascii="仿宋" w:hAnsi="仿宋" w:eastAsia="仿宋" w:cs="Times New Roman"/>
          <w:color w:val="auto"/>
          <w:sz w:val="28"/>
          <w:szCs w:val="28"/>
          <w:highlight w:val="none"/>
        </w:rPr>
        <w:t>(</w:t>
      </w:r>
      <w:r>
        <w:rPr>
          <w:rFonts w:hint="eastAsia" w:ascii="仿宋" w:hAnsi="仿宋" w:eastAsia="仿宋" w:cs="Times New Roman"/>
          <w:color w:val="auto"/>
          <w:sz w:val="28"/>
          <w:szCs w:val="28"/>
          <w:highlight w:val="none"/>
        </w:rPr>
        <w:t>在下划线上如实填写：有或没有）履行合同所必需的设备和专业技术能力。</w:t>
      </w:r>
    </w:p>
    <w:p>
      <w:pPr>
        <w:ind w:firstLine="560"/>
        <w:jc w:val="left"/>
        <w:rPr>
          <w:rFonts w:ascii="仿宋" w:hAnsi="仿宋" w:eastAsia="仿宋" w:cs="Times New Roman"/>
          <w:color w:val="auto"/>
          <w:sz w:val="24"/>
          <w:szCs w:val="20"/>
          <w:highlight w:val="none"/>
        </w:rPr>
      </w:pPr>
    </w:p>
    <w:p>
      <w:pPr>
        <w:ind w:firstLine="560"/>
        <w:jc w:val="left"/>
        <w:rPr>
          <w:rFonts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rPr>
        <w:t>承诺人：（公章）</w:t>
      </w:r>
    </w:p>
    <w:p>
      <w:pPr>
        <w:ind w:firstLine="560"/>
        <w:jc w:val="left"/>
        <w:rPr>
          <w:rFonts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rPr>
        <w:t>年月日</w:t>
      </w:r>
    </w:p>
    <w:p>
      <w:pPr>
        <w:jc w:val="center"/>
        <w:rPr>
          <w:rFonts w:ascii="仿宋" w:hAnsi="仿宋" w:eastAsia="仿宋" w:cs="Times New Roman"/>
          <w:b/>
          <w:bCs/>
          <w:color w:val="auto"/>
          <w:sz w:val="36"/>
          <w:szCs w:val="36"/>
          <w:highlight w:val="none"/>
        </w:rPr>
      </w:pPr>
    </w:p>
    <w:p>
      <w:pPr>
        <w:rPr>
          <w:rFonts w:ascii="仿宋" w:hAnsi="仿宋" w:eastAsia="仿宋" w:cs="Times New Roman"/>
          <w:color w:val="auto"/>
          <w:szCs w:val="20"/>
          <w:highlight w:val="none"/>
        </w:rPr>
      </w:pPr>
    </w:p>
    <w:p>
      <w:pPr>
        <w:snapToGrid w:val="0"/>
        <w:spacing w:line="360" w:lineRule="auto"/>
        <w:ind w:firstLine="1105" w:firstLineChars="393"/>
        <w:jc w:val="center"/>
        <w:outlineLvl w:val="4"/>
        <w:rPr>
          <w:rFonts w:ascii="仿宋" w:hAnsi="仿宋" w:eastAsia="仿宋" w:cs="Times New Roman"/>
          <w:b/>
          <w:bCs/>
          <w:color w:val="auto"/>
          <w:sz w:val="44"/>
          <w:szCs w:val="44"/>
          <w:highlight w:val="none"/>
        </w:rPr>
      </w:pPr>
      <w:r>
        <w:rPr>
          <w:rFonts w:hint="eastAsia" w:ascii="仿宋" w:hAnsi="仿宋" w:eastAsia="仿宋" w:cs="Times New Roman"/>
          <w:b/>
          <w:bCs/>
          <w:color w:val="auto"/>
          <w:sz w:val="28"/>
          <w:szCs w:val="28"/>
          <w:highlight w:val="none"/>
        </w:rPr>
        <w:t>5、</w:t>
      </w:r>
      <w:r>
        <w:rPr>
          <w:rFonts w:ascii="仿宋" w:hAnsi="仿宋" w:eastAsia="仿宋" w:cs="Times New Roman"/>
          <w:b/>
          <w:bCs/>
          <w:color w:val="auto"/>
          <w:sz w:val="28"/>
          <w:szCs w:val="28"/>
          <w:highlight w:val="none"/>
        </w:rPr>
        <w:t>无重大违法记录的书面声明</w:t>
      </w:r>
    </w:p>
    <w:p>
      <w:pPr>
        <w:jc w:val="left"/>
        <w:rPr>
          <w:rFonts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u w:val="single"/>
        </w:rPr>
        <w:t>（采购人）</w:t>
      </w:r>
      <w:r>
        <w:rPr>
          <w:rFonts w:ascii="仿宋" w:hAnsi="仿宋" w:eastAsia="仿宋" w:cs="Times New Roman"/>
          <w:color w:val="auto"/>
          <w:sz w:val="28"/>
          <w:szCs w:val="28"/>
          <w:highlight w:val="none"/>
        </w:rPr>
        <w:t>：</w:t>
      </w:r>
    </w:p>
    <w:p>
      <w:pPr>
        <w:ind w:firstLine="560"/>
        <w:jc w:val="left"/>
        <w:rPr>
          <w:rFonts w:ascii="仿宋" w:hAnsi="仿宋" w:eastAsia="仿宋" w:cs="Times New Roman"/>
          <w:color w:val="auto"/>
          <w:sz w:val="28"/>
          <w:szCs w:val="28"/>
          <w:highlight w:val="none"/>
        </w:rPr>
      </w:pPr>
      <w:r>
        <w:rPr>
          <w:rFonts w:ascii="仿宋" w:hAnsi="仿宋" w:eastAsia="仿宋" w:cs="Times New Roman"/>
          <w:color w:val="auto"/>
          <w:sz w:val="28"/>
          <w:szCs w:val="28"/>
          <w:highlight w:val="none"/>
        </w:rPr>
        <w:t>我单位（供应商名称）郑重声明：</w:t>
      </w:r>
    </w:p>
    <w:p>
      <w:pPr>
        <w:ind w:firstLine="560"/>
        <w:jc w:val="left"/>
        <w:rPr>
          <w:rFonts w:ascii="仿宋" w:hAnsi="仿宋" w:eastAsia="仿宋" w:cs="Times New Roman"/>
          <w:color w:val="auto"/>
          <w:sz w:val="28"/>
          <w:szCs w:val="28"/>
          <w:highlight w:val="none"/>
        </w:rPr>
      </w:pPr>
      <w:r>
        <w:rPr>
          <w:rFonts w:ascii="仿宋" w:hAnsi="仿宋" w:eastAsia="仿宋" w:cs="Times New Roman"/>
          <w:color w:val="auto"/>
          <w:sz w:val="28"/>
          <w:szCs w:val="28"/>
          <w:highlight w:val="none"/>
        </w:rPr>
        <w:t>参加本项目政府采购活动前3年内在经营活动中(在下划线上如实填写：有或没有）重大违法记录。</w:t>
      </w:r>
    </w:p>
    <w:p>
      <w:pPr>
        <w:ind w:firstLine="560"/>
        <w:jc w:val="left"/>
        <w:rPr>
          <w:rFonts w:ascii="仿宋" w:hAnsi="仿宋" w:eastAsia="仿宋" w:cs="Times New Roman"/>
          <w:color w:val="auto"/>
          <w:sz w:val="28"/>
          <w:szCs w:val="28"/>
          <w:highlight w:val="none"/>
        </w:rPr>
      </w:pPr>
    </w:p>
    <w:p>
      <w:pPr>
        <w:ind w:firstLine="560"/>
        <w:jc w:val="left"/>
        <w:rPr>
          <w:rFonts w:ascii="仿宋" w:hAnsi="仿宋" w:eastAsia="仿宋" w:cs="Times New Roman"/>
          <w:color w:val="auto"/>
          <w:sz w:val="24"/>
          <w:szCs w:val="20"/>
          <w:highlight w:val="none"/>
        </w:rPr>
      </w:pPr>
      <w:r>
        <w:rPr>
          <w:rFonts w:ascii="仿宋" w:hAnsi="仿宋" w:eastAsia="仿宋" w:cs="Times New Roman"/>
          <w:color w:val="auto"/>
          <w:sz w:val="24"/>
          <w:szCs w:val="20"/>
          <w:highlight w:val="none"/>
        </w:rPr>
        <w:t>（说明：政府采购法第二十二条第一款第五项所称重大违法记录，是指供应商因违法经营受到刑事处罚或者责令停产停业、吊销许可证或者执照、较大数额罚款等行政处罚。）</w:t>
      </w:r>
    </w:p>
    <w:p>
      <w:pPr>
        <w:ind w:firstLine="560"/>
        <w:jc w:val="left"/>
        <w:rPr>
          <w:rFonts w:ascii="仿宋" w:hAnsi="仿宋" w:eastAsia="仿宋" w:cs="Times New Roman"/>
          <w:color w:val="auto"/>
          <w:sz w:val="28"/>
          <w:szCs w:val="28"/>
          <w:highlight w:val="none"/>
        </w:rPr>
      </w:pPr>
    </w:p>
    <w:p>
      <w:pPr>
        <w:ind w:firstLine="560"/>
        <w:jc w:val="left"/>
        <w:rPr>
          <w:rFonts w:ascii="仿宋" w:hAnsi="仿宋" w:eastAsia="仿宋" w:cs="Times New Roman"/>
          <w:color w:val="auto"/>
          <w:sz w:val="28"/>
          <w:szCs w:val="28"/>
          <w:highlight w:val="none"/>
        </w:rPr>
      </w:pPr>
      <w:r>
        <w:rPr>
          <w:rFonts w:ascii="仿宋" w:hAnsi="仿宋" w:eastAsia="仿宋" w:cs="Times New Roman"/>
          <w:color w:val="auto"/>
          <w:sz w:val="28"/>
          <w:szCs w:val="28"/>
          <w:highlight w:val="none"/>
        </w:rPr>
        <w:t xml:space="preserve">            声明人：（公章）</w:t>
      </w:r>
    </w:p>
    <w:p>
      <w:pPr>
        <w:ind w:firstLine="560"/>
        <w:jc w:val="left"/>
        <w:rPr>
          <w:rFonts w:ascii="仿宋" w:hAnsi="仿宋" w:eastAsia="仿宋" w:cs="Times New Roman"/>
          <w:color w:val="auto"/>
          <w:sz w:val="28"/>
          <w:szCs w:val="28"/>
          <w:highlight w:val="none"/>
        </w:rPr>
      </w:pPr>
      <w:r>
        <w:rPr>
          <w:rFonts w:ascii="仿宋" w:hAnsi="仿宋" w:eastAsia="仿宋" w:cs="Times New Roman"/>
          <w:color w:val="auto"/>
          <w:sz w:val="28"/>
          <w:szCs w:val="28"/>
          <w:highlight w:val="none"/>
        </w:rPr>
        <w:t xml:space="preserve">                           年    月   日</w:t>
      </w:r>
    </w:p>
    <w:p>
      <w:pPr>
        <w:spacing w:line="460" w:lineRule="exact"/>
        <w:rPr>
          <w:rFonts w:ascii="仿宋" w:hAnsi="仿宋" w:eastAsia="仿宋" w:cs="宋体"/>
          <w:bCs/>
          <w:color w:val="auto"/>
          <w:sz w:val="24"/>
          <w:szCs w:val="24"/>
          <w:highlight w:val="none"/>
        </w:rPr>
        <w:sectPr>
          <w:footerReference r:id="rId7" w:type="first"/>
          <w:headerReference r:id="rId5" w:type="default"/>
          <w:footerReference r:id="rId6" w:type="default"/>
          <w:pgSz w:w="11906" w:h="16838"/>
          <w:pgMar w:top="1015" w:right="1191" w:bottom="867" w:left="1417" w:header="851" w:footer="907" w:gutter="0"/>
          <w:cols w:space="720" w:num="1"/>
          <w:titlePg/>
          <w:docGrid w:type="lines" w:linePitch="286" w:charSpace="0"/>
        </w:sectPr>
      </w:pPr>
    </w:p>
    <w:p>
      <w:pPr>
        <w:spacing w:line="480" w:lineRule="exact"/>
        <w:jc w:val="center"/>
        <w:rPr>
          <w:rFonts w:ascii="仿宋" w:hAnsi="仿宋" w:eastAsia="仿宋" w:cs="宋体"/>
          <w:bCs/>
          <w:color w:val="auto"/>
          <w:sz w:val="32"/>
          <w:szCs w:val="32"/>
          <w:highlight w:val="none"/>
        </w:rPr>
      </w:pPr>
      <w:r>
        <w:rPr>
          <w:rFonts w:hint="eastAsia" w:ascii="仿宋" w:hAnsi="仿宋" w:eastAsia="仿宋" w:cs="宋体"/>
          <w:bCs/>
          <w:color w:val="auto"/>
          <w:sz w:val="32"/>
          <w:szCs w:val="32"/>
          <w:highlight w:val="none"/>
        </w:rPr>
        <w:t>第</w:t>
      </w:r>
      <w:r>
        <w:rPr>
          <w:rFonts w:hint="eastAsia" w:ascii="仿宋" w:hAnsi="仿宋" w:eastAsia="仿宋" w:cs="宋体"/>
          <w:bCs/>
          <w:color w:val="auto"/>
          <w:sz w:val="32"/>
          <w:szCs w:val="32"/>
          <w:highlight w:val="none"/>
          <w:lang w:val="en-US" w:eastAsia="zh-CN"/>
        </w:rPr>
        <w:t>二</w:t>
      </w:r>
      <w:r>
        <w:rPr>
          <w:rFonts w:hint="eastAsia" w:ascii="仿宋" w:hAnsi="仿宋" w:eastAsia="仿宋" w:cs="宋体"/>
          <w:bCs/>
          <w:color w:val="auto"/>
          <w:sz w:val="32"/>
          <w:szCs w:val="32"/>
          <w:highlight w:val="none"/>
        </w:rPr>
        <w:t>部分  报价标文件</w:t>
      </w:r>
    </w:p>
    <w:p>
      <w:pPr>
        <w:spacing w:line="440" w:lineRule="exact"/>
        <w:jc w:val="center"/>
        <w:rPr>
          <w:rFonts w:ascii="仿宋" w:hAnsi="仿宋" w:eastAsia="仿宋" w:cs="宋体"/>
          <w:color w:val="auto"/>
          <w:sz w:val="32"/>
          <w:szCs w:val="32"/>
          <w:highlight w:val="none"/>
        </w:rPr>
      </w:pPr>
    </w:p>
    <w:p>
      <w:pPr>
        <w:spacing w:line="440" w:lineRule="exact"/>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目   录</w:t>
      </w:r>
    </w:p>
    <w:p>
      <w:pPr>
        <w:spacing w:line="440" w:lineRule="exact"/>
        <w:jc w:val="center"/>
        <w:rPr>
          <w:rFonts w:ascii="仿宋" w:hAnsi="仿宋" w:eastAsia="仿宋" w:cs="宋体"/>
          <w:color w:val="auto"/>
          <w:sz w:val="24"/>
          <w:szCs w:val="24"/>
          <w:highlight w:val="none"/>
        </w:rPr>
      </w:pPr>
    </w:p>
    <w:p>
      <w:pPr>
        <w:spacing w:line="440" w:lineRule="exact"/>
        <w:jc w:val="center"/>
        <w:rPr>
          <w:rFonts w:ascii="仿宋" w:hAnsi="仿宋" w:eastAsia="仿宋" w:cs="宋体"/>
          <w:color w:val="auto"/>
          <w:sz w:val="24"/>
          <w:szCs w:val="24"/>
          <w:highlight w:val="none"/>
        </w:rPr>
      </w:pPr>
    </w:p>
    <w:p>
      <w:pPr>
        <w:spacing w:line="460" w:lineRule="exact"/>
        <w:ind w:firstLine="470" w:firstLineChars="196"/>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1、封面；</w:t>
      </w:r>
    </w:p>
    <w:p>
      <w:pPr>
        <w:spacing w:line="440" w:lineRule="exact"/>
        <w:ind w:left="426"/>
        <w:rPr>
          <w:rFonts w:ascii="仿宋" w:hAnsi="仿宋" w:eastAsia="仿宋" w:cs="宋体"/>
          <w:bCs/>
          <w:color w:val="auto"/>
          <w:sz w:val="24"/>
          <w:szCs w:val="24"/>
          <w:highlight w:val="none"/>
        </w:rPr>
      </w:pPr>
      <w:r>
        <w:rPr>
          <w:rFonts w:hint="eastAsia" w:ascii="仿宋" w:hAnsi="仿宋" w:eastAsia="仿宋" w:cs="Times New Roman"/>
          <w:color w:val="auto"/>
          <w:sz w:val="24"/>
          <w:szCs w:val="24"/>
          <w:highlight w:val="none"/>
        </w:rPr>
        <w:t>2、</w:t>
      </w:r>
      <w:r>
        <w:rPr>
          <w:rFonts w:hint="eastAsia" w:ascii="仿宋" w:hAnsi="仿宋" w:eastAsia="仿宋" w:cs="宋体"/>
          <w:bCs/>
          <w:color w:val="auto"/>
          <w:sz w:val="24"/>
          <w:szCs w:val="24"/>
          <w:highlight w:val="none"/>
        </w:rPr>
        <w:t>谈判响应报价（首次）总表</w:t>
      </w:r>
    </w:p>
    <w:p>
      <w:pPr>
        <w:spacing w:line="360" w:lineRule="auto"/>
        <w:ind w:firstLine="480" w:firstLineChars="200"/>
        <w:rPr>
          <w:rFonts w:hint="eastAsia" w:ascii="仿宋" w:hAnsi="仿宋" w:eastAsia="仿宋" w:cs="宋体"/>
          <w:bCs/>
          <w:color w:val="auto"/>
          <w:sz w:val="24"/>
          <w:szCs w:val="24"/>
          <w:highlight w:val="none"/>
          <w:lang w:eastAsia="zh-CN"/>
        </w:rPr>
      </w:pPr>
      <w:r>
        <w:rPr>
          <w:rFonts w:hint="eastAsia" w:ascii="仿宋" w:hAnsi="仿宋" w:eastAsia="仿宋" w:cs="宋体"/>
          <w:bCs/>
          <w:color w:val="auto"/>
          <w:sz w:val="24"/>
          <w:szCs w:val="24"/>
          <w:highlight w:val="none"/>
        </w:rPr>
        <w:t>3、</w:t>
      </w:r>
      <w:r>
        <w:rPr>
          <w:rFonts w:hint="eastAsia" w:ascii="仿宋" w:hAnsi="仿宋" w:eastAsia="仿宋" w:cs="宋体"/>
          <w:bCs/>
          <w:color w:val="auto"/>
          <w:sz w:val="24"/>
          <w:szCs w:val="24"/>
          <w:highlight w:val="none"/>
          <w:lang w:eastAsia="zh-CN"/>
        </w:rPr>
        <w:t>报价明细表</w:t>
      </w:r>
    </w:p>
    <w:p>
      <w:pPr>
        <w:spacing w:line="440" w:lineRule="exact"/>
        <w:ind w:left="426"/>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4、谈判响应报价表（最终）</w:t>
      </w:r>
    </w:p>
    <w:p>
      <w:pPr>
        <w:spacing w:line="440" w:lineRule="exact"/>
        <w:ind w:left="426"/>
        <w:rPr>
          <w:rFonts w:hint="eastAsia" w:ascii="仿宋" w:hAnsi="仿宋" w:eastAsia="仿宋" w:cs="仿宋"/>
          <w:color w:val="auto"/>
          <w:sz w:val="24"/>
          <w:highlight w:val="none"/>
        </w:rPr>
      </w:pPr>
      <w:r>
        <w:rPr>
          <w:rFonts w:hint="eastAsia" w:ascii="仿宋" w:hAnsi="仿宋" w:eastAsia="仿宋" w:cs="仿宋"/>
          <w:b/>
          <w:color w:val="auto"/>
          <w:sz w:val="24"/>
          <w:highlight w:val="none"/>
          <w:lang w:val="en-US" w:eastAsia="zh-CN"/>
        </w:rPr>
        <w:t>注明：</w:t>
      </w:r>
      <w:r>
        <w:rPr>
          <w:rFonts w:hint="eastAsia" w:ascii="仿宋" w:hAnsi="仿宋" w:eastAsia="仿宋" w:cs="仿宋"/>
          <w:b/>
          <w:color w:val="auto"/>
          <w:sz w:val="24"/>
          <w:highlight w:val="none"/>
        </w:rPr>
        <w:t>中小企业声明函（如符合小型和微型企业的需提供）；监狱企业证明函（如符合监狱企业的需提供）；残疾人福利性单位声明函（如符合残疾人福利性单位的需提供）。如未提供有效证明材料的则不能享受小型和微型企业和残疾人福利性单位及监狱企业产品的价格给予本</w:t>
      </w:r>
      <w:r>
        <w:rPr>
          <w:rFonts w:hint="eastAsia" w:ascii="仿宋" w:hAnsi="仿宋" w:eastAsia="仿宋" w:cs="仿宋"/>
          <w:b/>
          <w:color w:val="auto"/>
          <w:sz w:val="24"/>
          <w:highlight w:val="none"/>
          <w:lang w:val="en-US" w:eastAsia="zh-CN"/>
        </w:rPr>
        <w:t>谈判</w:t>
      </w:r>
      <w:r>
        <w:rPr>
          <w:rFonts w:hint="eastAsia" w:ascii="仿宋" w:hAnsi="仿宋" w:eastAsia="仿宋" w:cs="仿宋"/>
          <w:b/>
          <w:color w:val="auto"/>
          <w:sz w:val="24"/>
          <w:highlight w:val="none"/>
        </w:rPr>
        <w:t>文件要求比例%的扣除；用扣除后的价格作为有效报价参与评审的优惠政策。</w:t>
      </w:r>
    </w:p>
    <w:p>
      <w:pPr>
        <w:spacing w:line="360" w:lineRule="auto"/>
        <w:ind w:firstLine="440" w:firstLineChars="200"/>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highlight w:val="none"/>
          <w:u w:val="single"/>
        </w:rPr>
        <w:t>1、小微型企业价格扣除</w:t>
      </w:r>
    </w:p>
    <w:p>
      <w:pPr>
        <w:spacing w:line="360" w:lineRule="auto"/>
        <w:ind w:firstLine="440" w:firstLineChars="200"/>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highlight w:val="none"/>
          <w:u w:val="single"/>
        </w:rPr>
        <w:t>（1）本项目对小型和微型企业产品给予10%的扣除价格，用扣除后的价格参与评审。</w:t>
      </w:r>
    </w:p>
    <w:p>
      <w:pPr>
        <w:spacing w:line="360" w:lineRule="auto"/>
        <w:ind w:firstLine="440" w:firstLineChars="200"/>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highlight w:val="none"/>
          <w:u w:val="single"/>
        </w:rPr>
        <w:t>（2）供应商需按照采购文件的要求提供相应的《中小企业声明函》。</w:t>
      </w:r>
    </w:p>
    <w:p>
      <w:pPr>
        <w:spacing w:line="360" w:lineRule="auto"/>
        <w:ind w:firstLine="440" w:firstLineChars="200"/>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highlight w:val="none"/>
          <w:u w:val="single"/>
        </w:rPr>
        <w:t>（3）企业标准请参照《关于印发中小企业划型标准规定的通知》（工信部联企业[2011]300号）文件规定自行填写。</w:t>
      </w:r>
    </w:p>
    <w:p>
      <w:pPr>
        <w:spacing w:line="360" w:lineRule="auto"/>
        <w:ind w:firstLine="440" w:firstLineChars="200"/>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highlight w:val="none"/>
          <w:u w:val="single"/>
        </w:rPr>
        <w:t>2、残疾人福利单位价格扣除</w:t>
      </w:r>
    </w:p>
    <w:p>
      <w:pPr>
        <w:spacing w:line="360" w:lineRule="auto"/>
        <w:ind w:firstLine="440" w:firstLineChars="200"/>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highlight w:val="none"/>
          <w:u w:val="single"/>
        </w:rPr>
        <w:t>（1）本项目对残疾人福利性单位视同小型、微型企业，给予</w:t>
      </w:r>
      <w:r>
        <w:rPr>
          <w:rFonts w:hint="eastAsia" w:ascii="仿宋" w:hAnsi="仿宋" w:eastAsia="仿宋" w:cs="仿宋"/>
          <w:color w:val="auto"/>
          <w:sz w:val="22"/>
          <w:szCs w:val="22"/>
          <w:highlight w:val="none"/>
          <w:u w:val="single"/>
          <w:lang w:val="en-US" w:eastAsia="zh-CN"/>
        </w:rPr>
        <w:t>10</w:t>
      </w:r>
      <w:r>
        <w:rPr>
          <w:rFonts w:hint="eastAsia" w:ascii="仿宋" w:hAnsi="仿宋" w:eastAsia="仿宋" w:cs="仿宋"/>
          <w:color w:val="auto"/>
          <w:sz w:val="22"/>
          <w:szCs w:val="22"/>
          <w:highlight w:val="none"/>
          <w:u w:val="single"/>
        </w:rPr>
        <w:t>%的价格扣除，用扣除后的价格参与评审。</w:t>
      </w:r>
    </w:p>
    <w:p>
      <w:pPr>
        <w:spacing w:line="360" w:lineRule="auto"/>
        <w:ind w:firstLine="440" w:firstLineChars="200"/>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highlight w:val="none"/>
          <w:u w:val="single"/>
        </w:rPr>
        <w:t>（2）残疾人福利单位需按照采购文件的要求提供《残疾人福利性单位声明函》。</w:t>
      </w:r>
    </w:p>
    <w:p>
      <w:pPr>
        <w:spacing w:line="360" w:lineRule="auto"/>
        <w:ind w:firstLine="440" w:firstLineChars="200"/>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highlight w:val="none"/>
          <w:u w:val="single"/>
        </w:rPr>
        <w:t>（3）残疾人福利单位标准请参照《关于促进残疾人就业政府采购政策的通知》（财库〔2017〕141号）。</w:t>
      </w:r>
    </w:p>
    <w:p>
      <w:pPr>
        <w:spacing w:line="360" w:lineRule="auto"/>
        <w:ind w:firstLine="440" w:firstLineChars="200"/>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highlight w:val="none"/>
          <w:u w:val="single"/>
        </w:rPr>
        <w:t>3、监狱和戒毒企业价格扣除</w:t>
      </w:r>
    </w:p>
    <w:p>
      <w:pPr>
        <w:spacing w:line="360" w:lineRule="auto"/>
        <w:ind w:firstLine="440" w:firstLineChars="200"/>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highlight w:val="none"/>
          <w:u w:val="single"/>
        </w:rPr>
        <w:t>（1）本项目对监狱和戒毒企业（简称监狱企业）视同小型、微型企业，给予</w:t>
      </w:r>
      <w:r>
        <w:rPr>
          <w:rFonts w:hint="eastAsia" w:ascii="仿宋" w:hAnsi="仿宋" w:eastAsia="仿宋" w:cs="仿宋"/>
          <w:color w:val="auto"/>
          <w:sz w:val="22"/>
          <w:szCs w:val="22"/>
          <w:highlight w:val="none"/>
          <w:u w:val="single"/>
          <w:lang w:val="en-US" w:eastAsia="zh-CN"/>
        </w:rPr>
        <w:t>10</w:t>
      </w:r>
      <w:r>
        <w:rPr>
          <w:rFonts w:hint="eastAsia" w:ascii="仿宋" w:hAnsi="仿宋" w:eastAsia="仿宋" w:cs="仿宋"/>
          <w:color w:val="auto"/>
          <w:sz w:val="22"/>
          <w:szCs w:val="22"/>
          <w:highlight w:val="none"/>
          <w:u w:val="single"/>
        </w:rPr>
        <w:t>%的价格扣除，用扣除后的价格参与评审。</w:t>
      </w:r>
    </w:p>
    <w:p>
      <w:pPr>
        <w:spacing w:line="360" w:lineRule="auto"/>
        <w:ind w:firstLine="440" w:firstLineChars="200"/>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highlight w:val="none"/>
          <w:u w:val="single"/>
        </w:rPr>
        <w:t>（2）监狱企业参加政府采购活动时，需提供由省级以上监狱管理局、戒毒管理局(含新疆生产建设兵团)出具的属于监狱企业的证明文件。供应商如不提供上述证明文件，价格将不做相应扣除。</w:t>
      </w:r>
    </w:p>
    <w:p>
      <w:pPr>
        <w:spacing w:line="360" w:lineRule="auto"/>
        <w:ind w:firstLine="440" w:firstLineChars="200"/>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highlight w:val="none"/>
          <w:u w:val="single"/>
        </w:rPr>
        <w:t>（3）监狱企业标准请参照《关于政府采购支持监狱企业发展有关问题的通知》（财库[2014]68号）。</w:t>
      </w:r>
    </w:p>
    <w:p>
      <w:pPr>
        <w:spacing w:line="360" w:lineRule="auto"/>
        <w:ind w:firstLine="440" w:firstLineChars="200"/>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highlight w:val="none"/>
          <w:u w:val="single"/>
        </w:rPr>
        <w:t>4、残疾人福利单位、监狱企业属于小型、微型企业的，不重复享受政策。</w:t>
      </w:r>
    </w:p>
    <w:p>
      <w:pPr>
        <w:spacing w:line="360" w:lineRule="auto"/>
        <w:ind w:firstLine="440" w:firstLineChars="200"/>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highlight w:val="none"/>
          <w:u w:val="single"/>
        </w:rPr>
        <w:t xml:space="preserve">5、大中型企业和其他自然人、法人或者其他组织并与小型、微型企业（残疾人福利单位、监狱企业）组成联合体共同参加政府采购活动。联合协议中约定，小型、微型企业（残疾人福利单位、监狱企业）的协议合同金额占到联合体协议合同总金额30%以上的，给予联合体2%的价格扣除，用扣除后的价格参与评审。 </w:t>
      </w:r>
    </w:p>
    <w:p>
      <w:pPr>
        <w:spacing w:line="360" w:lineRule="auto"/>
        <w:ind w:firstLine="440" w:firstLineChars="200"/>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highlight w:val="none"/>
          <w:u w:val="single"/>
        </w:rPr>
        <w:t>6、联合体各方均为小型、微型企业（残疾人福利单位、监狱企业）的，联合体享受6%价格扣除，用扣除后的价格参与评审。</w:t>
      </w:r>
    </w:p>
    <w:p>
      <w:pPr>
        <w:spacing w:line="360" w:lineRule="auto"/>
        <w:ind w:firstLine="440" w:firstLineChars="200"/>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highlight w:val="none"/>
          <w:u w:val="single"/>
        </w:rPr>
        <w:t>7、根据《江苏省政府采购信用管理暂行办法》的规定，对有失信行为的供应商将根据信用评价结果按规定予以扣分或价格加成。    注：</w:t>
      </w:r>
      <w:r>
        <w:rPr>
          <w:rFonts w:hint="eastAsia" w:ascii="仿宋" w:hAnsi="仿宋" w:eastAsia="仿宋" w:cs="仿宋"/>
          <w:color w:val="auto"/>
          <w:sz w:val="22"/>
          <w:szCs w:val="22"/>
          <w:highlight w:val="none"/>
          <w:u w:val="single"/>
          <w:lang w:eastAsia="zh-CN"/>
        </w:rPr>
        <w:t>（</w:t>
      </w:r>
      <w:r>
        <w:rPr>
          <w:rFonts w:hint="eastAsia" w:ascii="仿宋" w:hAnsi="仿宋" w:eastAsia="仿宋" w:cs="仿宋"/>
          <w:color w:val="auto"/>
          <w:sz w:val="22"/>
          <w:szCs w:val="22"/>
          <w:highlight w:val="none"/>
          <w:u w:val="single"/>
          <w:lang w:val="en-US" w:eastAsia="zh-CN"/>
        </w:rPr>
        <w:t>1</w:t>
      </w:r>
      <w:r>
        <w:rPr>
          <w:rFonts w:hint="eastAsia" w:ascii="仿宋" w:hAnsi="仿宋" w:eastAsia="仿宋" w:cs="仿宋"/>
          <w:color w:val="auto"/>
          <w:sz w:val="22"/>
          <w:szCs w:val="22"/>
          <w:highlight w:val="none"/>
          <w:u w:val="single"/>
          <w:lang w:eastAsia="zh-CN"/>
        </w:rPr>
        <w:t>）</w:t>
      </w:r>
      <w:r>
        <w:rPr>
          <w:rFonts w:hint="eastAsia" w:ascii="仿宋" w:hAnsi="仿宋" w:eastAsia="仿宋" w:cs="仿宋"/>
          <w:color w:val="auto"/>
          <w:sz w:val="22"/>
          <w:szCs w:val="22"/>
          <w:highlight w:val="none"/>
          <w:u w:val="single"/>
        </w:rPr>
        <w:t>、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pPr>
        <w:spacing w:line="360" w:lineRule="auto"/>
        <w:ind w:firstLine="440" w:firstLineChars="200"/>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highlight w:val="none"/>
          <w:u w:val="single"/>
          <w:lang w:eastAsia="zh-CN"/>
        </w:rPr>
        <w:t>（</w:t>
      </w:r>
      <w:r>
        <w:rPr>
          <w:rFonts w:hint="eastAsia" w:ascii="仿宋" w:hAnsi="仿宋" w:eastAsia="仿宋" w:cs="仿宋"/>
          <w:color w:val="auto"/>
          <w:sz w:val="22"/>
          <w:szCs w:val="22"/>
          <w:highlight w:val="none"/>
          <w:u w:val="single"/>
          <w:lang w:val="en-US" w:eastAsia="zh-CN"/>
        </w:rPr>
        <w:t>2</w:t>
      </w:r>
      <w:r>
        <w:rPr>
          <w:rFonts w:hint="eastAsia" w:ascii="仿宋" w:hAnsi="仿宋" w:eastAsia="仿宋" w:cs="仿宋"/>
          <w:color w:val="auto"/>
          <w:sz w:val="22"/>
          <w:szCs w:val="22"/>
          <w:highlight w:val="none"/>
          <w:u w:val="single"/>
          <w:lang w:eastAsia="zh-CN"/>
        </w:rPr>
        <w:t>）</w:t>
      </w:r>
      <w:r>
        <w:rPr>
          <w:rFonts w:hint="eastAsia" w:ascii="仿宋" w:hAnsi="仿宋" w:eastAsia="仿宋" w:cs="仿宋"/>
          <w:color w:val="auto"/>
          <w:sz w:val="22"/>
          <w:szCs w:val="22"/>
          <w:highlight w:val="none"/>
          <w:u w:val="single"/>
        </w:rPr>
        <w:t>、投标人为小微企业或残疾人福利性单位的，招标人或者其委托的采购代理机构将随中标结果同时公告其《中小企业声明函》或《残疾人福利性单位声明函》，接受社会监督。</w:t>
      </w:r>
    </w:p>
    <w:p>
      <w:pPr>
        <w:spacing w:line="360" w:lineRule="auto"/>
        <w:ind w:firstLine="440" w:firstLineChars="200"/>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highlight w:val="none"/>
          <w:u w:val="single"/>
          <w:lang w:eastAsia="zh-CN"/>
        </w:rPr>
        <w:t>（</w:t>
      </w:r>
      <w:r>
        <w:rPr>
          <w:rFonts w:hint="eastAsia" w:ascii="仿宋" w:hAnsi="仿宋" w:eastAsia="仿宋" w:cs="仿宋"/>
          <w:color w:val="auto"/>
          <w:sz w:val="22"/>
          <w:szCs w:val="22"/>
          <w:highlight w:val="none"/>
          <w:u w:val="single"/>
          <w:lang w:val="en-US" w:eastAsia="zh-CN"/>
        </w:rPr>
        <w:t>3</w:t>
      </w:r>
      <w:r>
        <w:rPr>
          <w:rFonts w:hint="eastAsia" w:ascii="仿宋" w:hAnsi="仿宋" w:eastAsia="仿宋" w:cs="仿宋"/>
          <w:color w:val="auto"/>
          <w:sz w:val="22"/>
          <w:szCs w:val="22"/>
          <w:highlight w:val="none"/>
          <w:u w:val="single"/>
          <w:lang w:eastAsia="zh-CN"/>
        </w:rPr>
        <w:t>）</w:t>
      </w:r>
      <w:r>
        <w:rPr>
          <w:rFonts w:hint="eastAsia" w:ascii="仿宋" w:hAnsi="仿宋" w:eastAsia="仿宋" w:cs="仿宋"/>
          <w:color w:val="auto"/>
          <w:sz w:val="22"/>
          <w:szCs w:val="22"/>
          <w:highlight w:val="none"/>
          <w:u w:val="single"/>
        </w:rPr>
        <w:t>、投标人提供的《中小企业声明函》或《残疾人福利性单位声明函》与事实不符的，招标人将依照《政府采购法》第七十七条第一款的规定追究法律责任。</w:t>
      </w:r>
    </w:p>
    <w:p>
      <w:pPr>
        <w:spacing w:line="360" w:lineRule="auto"/>
        <w:ind w:firstLine="440" w:firstLineChars="200"/>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highlight w:val="none"/>
          <w:u w:val="single"/>
        </w:rPr>
        <w:t>8、本项目采购标的对应的中小企业划分标准所属行业为</w:t>
      </w:r>
      <w:r>
        <w:rPr>
          <w:rFonts w:hint="eastAsia" w:ascii="仿宋" w:hAnsi="仿宋" w:eastAsia="仿宋" w:cs="仿宋"/>
          <w:color w:val="auto"/>
          <w:sz w:val="22"/>
          <w:szCs w:val="22"/>
          <w:highlight w:val="none"/>
          <w:u w:val="single"/>
          <w:lang w:val="en-US" w:eastAsia="zh-CN"/>
        </w:rPr>
        <w:t>建筑</w:t>
      </w:r>
      <w:r>
        <w:rPr>
          <w:rFonts w:hint="eastAsia" w:ascii="仿宋" w:hAnsi="仿宋" w:eastAsia="仿宋" w:cs="仿宋"/>
          <w:color w:val="auto"/>
          <w:sz w:val="22"/>
          <w:szCs w:val="22"/>
          <w:highlight w:val="none"/>
          <w:u w:val="single"/>
        </w:rPr>
        <w:t>业。</w:t>
      </w:r>
    </w:p>
    <w:p>
      <w:pPr>
        <w:spacing w:line="440" w:lineRule="exact"/>
        <w:ind w:left="426"/>
        <w:rPr>
          <w:rFonts w:ascii="仿宋" w:hAnsi="仿宋" w:eastAsia="仿宋" w:cs="Times New Roman"/>
          <w:color w:val="auto"/>
          <w:sz w:val="24"/>
          <w:szCs w:val="24"/>
          <w:highlight w:val="none"/>
        </w:rPr>
      </w:pPr>
    </w:p>
    <w:p>
      <w:pPr>
        <w:spacing w:line="440" w:lineRule="exact"/>
        <w:ind w:left="426"/>
        <w:rPr>
          <w:rFonts w:ascii="仿宋" w:hAnsi="仿宋" w:eastAsia="仿宋" w:cs="Times New Roman"/>
          <w:color w:val="auto"/>
          <w:sz w:val="24"/>
          <w:szCs w:val="24"/>
          <w:highlight w:val="none"/>
        </w:rPr>
      </w:pPr>
    </w:p>
    <w:p>
      <w:pPr>
        <w:snapToGrid w:val="0"/>
        <w:spacing w:beforeLines="100" w:line="420" w:lineRule="exact"/>
        <w:jc w:val="center"/>
        <w:outlineLvl w:val="3"/>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br w:type="page"/>
      </w:r>
      <w:bookmarkEnd w:id="142"/>
    </w:p>
    <w:p>
      <w:pPr>
        <w:numPr>
          <w:ilvl w:val="0"/>
          <w:numId w:val="4"/>
        </w:numPr>
        <w:snapToGrid w:val="0"/>
        <w:spacing w:beforeLines="100" w:line="420" w:lineRule="exact"/>
        <w:jc w:val="center"/>
        <w:outlineLvl w:val="3"/>
        <w:rPr>
          <w:rFonts w:ascii="仿宋" w:hAnsi="仿宋" w:eastAsia="仿宋" w:cs="宋体"/>
          <w:b/>
          <w:color w:val="auto"/>
          <w:sz w:val="24"/>
          <w:szCs w:val="24"/>
          <w:highlight w:val="none"/>
        </w:rPr>
      </w:pPr>
      <w:r>
        <w:rPr>
          <w:rFonts w:hint="eastAsia" w:ascii="仿宋" w:hAnsi="仿宋" w:eastAsia="仿宋" w:cs="宋体"/>
          <w:b/>
          <w:color w:val="auto"/>
          <w:sz w:val="24"/>
          <w:szCs w:val="24"/>
          <w:highlight w:val="none"/>
        </w:rPr>
        <w:t>谈判响应报价（首次）总表</w:t>
      </w:r>
    </w:p>
    <w:p>
      <w:pPr>
        <w:ind w:firstLine="645"/>
        <w:rPr>
          <w:rFonts w:ascii="仿宋" w:hAnsi="仿宋" w:eastAsia="仿宋" w:cs="Times New Roman"/>
          <w:color w:val="auto"/>
          <w:sz w:val="24"/>
          <w:szCs w:val="24"/>
          <w:highlight w:val="none"/>
        </w:rPr>
      </w:pPr>
    </w:p>
    <w:p>
      <w:pPr>
        <w:snapToGrid w:val="0"/>
        <w:spacing w:line="420" w:lineRule="exact"/>
        <w:ind w:left="1211" w:leftChars="171" w:hanging="852" w:hangingChars="355"/>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项目编号：</w:t>
      </w:r>
    </w:p>
    <w:p>
      <w:pPr>
        <w:snapToGrid w:val="0"/>
        <w:spacing w:line="420" w:lineRule="exact"/>
        <w:rPr>
          <w:rFonts w:ascii="仿宋" w:hAnsi="仿宋" w:eastAsia="仿宋" w:cs="宋体"/>
          <w:bCs/>
          <w:color w:val="auto"/>
          <w:sz w:val="24"/>
          <w:szCs w:val="24"/>
          <w:highlight w:val="none"/>
        </w:rPr>
      </w:pPr>
    </w:p>
    <w:p>
      <w:pPr>
        <w:snapToGrid w:val="0"/>
        <w:spacing w:line="420" w:lineRule="exact"/>
        <w:ind w:left="1214" w:hanging="1214" w:hangingChars="506"/>
        <w:rPr>
          <w:rFonts w:ascii="仿宋" w:hAnsi="仿宋" w:eastAsia="仿宋" w:cs="宋体"/>
          <w:bCs/>
          <w:color w:val="auto"/>
          <w:sz w:val="24"/>
          <w:szCs w:val="24"/>
          <w:highlight w:val="none"/>
        </w:rPr>
      </w:pPr>
    </w:p>
    <w:tbl>
      <w:tblPr>
        <w:tblStyle w:val="3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326"/>
        <w:gridCol w:w="57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6" w:hRule="atLeast"/>
          <w:jc w:val="center"/>
        </w:trPr>
        <w:tc>
          <w:tcPr>
            <w:tcW w:w="2326" w:type="dxa"/>
            <w:tcBorders>
              <w:top w:val="single" w:color="auto" w:sz="4" w:space="0"/>
              <w:left w:val="single" w:color="auto" w:sz="4" w:space="0"/>
              <w:bottom w:val="single" w:color="auto" w:sz="4" w:space="0"/>
              <w:right w:val="single" w:color="auto" w:sz="4" w:space="0"/>
            </w:tcBorders>
            <w:vAlign w:val="center"/>
          </w:tcPr>
          <w:p>
            <w:pPr>
              <w:kinsoku w:val="0"/>
              <w:topLinePunct/>
              <w:snapToGrid w:val="0"/>
              <w:spacing w:line="420" w:lineRule="exact"/>
              <w:jc w:val="center"/>
              <w:rPr>
                <w:rFonts w:ascii="仿宋" w:hAnsi="仿宋" w:eastAsia="仿宋" w:cs="Times New Roman"/>
                <w:color w:val="auto"/>
                <w:sz w:val="24"/>
                <w:szCs w:val="24"/>
                <w:highlight w:val="none"/>
                <w:lang w:eastAsia="en-US"/>
              </w:rPr>
            </w:pPr>
            <w:r>
              <w:rPr>
                <w:rFonts w:hint="eastAsia" w:ascii="仿宋" w:hAnsi="仿宋" w:eastAsia="仿宋" w:cs="Times New Roman"/>
                <w:color w:val="auto"/>
                <w:sz w:val="24"/>
                <w:szCs w:val="24"/>
                <w:highlight w:val="none"/>
                <w:lang w:eastAsia="en-US"/>
              </w:rPr>
              <w:t>项目名称</w:t>
            </w:r>
          </w:p>
        </w:tc>
        <w:tc>
          <w:tcPr>
            <w:tcW w:w="5768" w:type="dxa"/>
            <w:tcBorders>
              <w:top w:val="single" w:color="auto" w:sz="4" w:space="0"/>
              <w:left w:val="single" w:color="auto" w:sz="4" w:space="0"/>
              <w:bottom w:val="single" w:color="auto" w:sz="4" w:space="0"/>
              <w:right w:val="single" w:color="auto" w:sz="4" w:space="0"/>
            </w:tcBorders>
            <w:vAlign w:val="center"/>
          </w:tcPr>
          <w:p>
            <w:pPr>
              <w:kinsoku w:val="0"/>
              <w:topLinePunct/>
              <w:snapToGrid w:val="0"/>
              <w:spacing w:line="420" w:lineRule="exact"/>
              <w:jc w:val="center"/>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谈判报价（元）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9" w:hRule="atLeast"/>
          <w:jc w:val="center"/>
        </w:trPr>
        <w:tc>
          <w:tcPr>
            <w:tcW w:w="2326" w:type="dxa"/>
            <w:tcBorders>
              <w:top w:val="single" w:color="auto" w:sz="4" w:space="0"/>
              <w:left w:val="single" w:color="auto" w:sz="4" w:space="0"/>
              <w:bottom w:val="single" w:color="auto" w:sz="4" w:space="0"/>
              <w:right w:val="single" w:color="auto" w:sz="4" w:space="0"/>
            </w:tcBorders>
            <w:vAlign w:val="center"/>
          </w:tcPr>
          <w:p>
            <w:pPr>
              <w:spacing w:line="520" w:lineRule="exact"/>
              <w:ind w:left="1"/>
              <w:jc w:val="left"/>
              <w:textAlignment w:val="bottom"/>
              <w:rPr>
                <w:rFonts w:ascii="仿宋" w:hAnsi="仿宋" w:eastAsia="仿宋" w:cs="宋体"/>
                <w:b/>
                <w:bCs/>
                <w:color w:val="auto"/>
                <w:kern w:val="0"/>
                <w:sz w:val="24"/>
                <w:szCs w:val="24"/>
                <w:highlight w:val="none"/>
              </w:rPr>
            </w:pPr>
          </w:p>
        </w:tc>
        <w:tc>
          <w:tcPr>
            <w:tcW w:w="5768" w:type="dxa"/>
            <w:tcBorders>
              <w:top w:val="single" w:color="auto" w:sz="4" w:space="0"/>
              <w:left w:val="single" w:color="auto" w:sz="4" w:space="0"/>
              <w:bottom w:val="single" w:color="auto" w:sz="4" w:space="0"/>
              <w:right w:val="single" w:color="auto" w:sz="4" w:space="0"/>
            </w:tcBorders>
            <w:vAlign w:val="center"/>
          </w:tcPr>
          <w:p>
            <w:pPr>
              <w:spacing w:line="520" w:lineRule="exact"/>
              <w:ind w:left="1" w:firstLine="26" w:firstLineChars="11"/>
              <w:textAlignment w:val="bottom"/>
              <w:rPr>
                <w:rFonts w:ascii="仿宋" w:hAnsi="仿宋" w:eastAsia="仿宋" w:cs="宋体"/>
                <w:color w:val="auto"/>
                <w:kern w:val="0"/>
                <w:sz w:val="24"/>
                <w:szCs w:val="24"/>
                <w:highlight w:val="none"/>
              </w:rPr>
            </w:pPr>
            <w:r>
              <w:rPr>
                <w:rFonts w:ascii="仿宋" w:hAnsi="仿宋" w:eastAsia="仿宋" w:cs="宋体"/>
                <w:color w:val="auto"/>
                <w:kern w:val="0"/>
                <w:sz w:val="24"/>
                <w:szCs w:val="24"/>
                <w:highlight w:val="none"/>
              </w:rPr>
              <w:t>大写</w:t>
            </w:r>
            <w:r>
              <w:rPr>
                <w:rFonts w:hint="eastAsia" w:ascii="仿宋" w:hAnsi="仿宋" w:eastAsia="仿宋" w:cs="宋体"/>
                <w:color w:val="auto"/>
                <w:kern w:val="0"/>
                <w:sz w:val="24"/>
                <w:szCs w:val="24"/>
                <w:highlight w:val="none"/>
              </w:rPr>
              <w:t>：</w:t>
            </w:r>
            <w:r>
              <w:rPr>
                <w:rFonts w:ascii="仿宋" w:hAnsi="仿宋" w:eastAsia="仿宋" w:cs="宋体"/>
                <w:color w:val="auto"/>
                <w:kern w:val="0"/>
                <w:sz w:val="24"/>
                <w:szCs w:val="24"/>
                <w:highlight w:val="none"/>
              </w:rPr>
              <w:t>人民币</w:t>
            </w:r>
          </w:p>
          <w:p>
            <w:pPr>
              <w:spacing w:line="520" w:lineRule="exact"/>
              <w:ind w:left="1" w:firstLine="26" w:firstLineChars="11"/>
              <w:textAlignment w:val="bottom"/>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小写：（</w:t>
            </w:r>
            <w:r>
              <w:rPr>
                <w:rFonts w:hint="default" w:ascii="Arial" w:hAnsi="Arial" w:eastAsia="仿宋" w:cs="Arial"/>
                <w:color w:val="auto"/>
                <w:kern w:val="0"/>
                <w:sz w:val="24"/>
                <w:szCs w:val="24"/>
                <w:highlight w:val="none"/>
              </w:rPr>
              <w:t>¥</w:t>
            </w:r>
            <w:r>
              <w:rPr>
                <w:rFonts w:hint="eastAsia" w:ascii="仿宋" w:hAnsi="仿宋" w:eastAsia="仿宋" w:cs="宋体"/>
                <w:color w:val="auto"/>
                <w:kern w:val="0"/>
                <w:sz w:val="24"/>
                <w:szCs w:val="24"/>
                <w:highlight w:val="none"/>
              </w:rPr>
              <w:t>）</w:t>
            </w:r>
          </w:p>
        </w:tc>
      </w:tr>
    </w:tbl>
    <w:p>
      <w:pPr>
        <w:snapToGrid w:val="0"/>
        <w:spacing w:line="420" w:lineRule="exact"/>
        <w:ind w:left="1214" w:hanging="1214" w:hangingChars="506"/>
        <w:rPr>
          <w:rFonts w:ascii="仿宋" w:hAnsi="仿宋" w:eastAsia="仿宋" w:cs="Times New Roman"/>
          <w:color w:val="auto"/>
          <w:sz w:val="24"/>
          <w:szCs w:val="24"/>
          <w:highlight w:val="none"/>
        </w:rPr>
      </w:pPr>
    </w:p>
    <w:p>
      <w:pPr>
        <w:kinsoku w:val="0"/>
        <w:topLinePunct/>
        <w:snapToGrid w:val="0"/>
        <w:spacing w:line="420" w:lineRule="exact"/>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 xml:space="preserve">谈判供应商：（盖章）             </w:t>
      </w:r>
    </w:p>
    <w:p>
      <w:pPr>
        <w:kinsoku w:val="0"/>
        <w:topLinePunct/>
        <w:snapToGrid w:val="0"/>
        <w:spacing w:line="420" w:lineRule="exact"/>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法定代表人或被委托授权人（签字）：</w:t>
      </w:r>
    </w:p>
    <w:p>
      <w:pPr>
        <w:kinsoku w:val="0"/>
        <w:topLinePunct/>
        <w:snapToGrid w:val="0"/>
        <w:spacing w:line="420" w:lineRule="exact"/>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日期：</w:t>
      </w:r>
    </w:p>
    <w:p>
      <w:pPr>
        <w:numPr>
          <w:ilvl w:val="0"/>
          <w:numId w:val="4"/>
        </w:numPr>
        <w:tabs>
          <w:tab w:val="left" w:pos="1050"/>
          <w:tab w:val="right" w:leader="dot" w:pos="9402"/>
        </w:tabs>
        <w:ind w:left="1050" w:leftChars="0" w:hanging="720" w:firstLineChars="0"/>
        <w:jc w:val="center"/>
        <w:outlineLvl w:val="0"/>
        <w:rPr>
          <w:rFonts w:hint="eastAsia" w:ascii="仿宋" w:hAnsi="仿宋" w:eastAsia="仿宋" w:cs="仿宋"/>
          <w:b/>
          <w:bCs/>
          <w:color w:val="auto"/>
          <w:sz w:val="30"/>
          <w:szCs w:val="30"/>
          <w:highlight w:val="none"/>
          <w:lang w:eastAsia="zh-CN"/>
        </w:rPr>
      </w:pPr>
      <w:r>
        <w:rPr>
          <w:rFonts w:hint="eastAsia" w:ascii="仿宋" w:hAnsi="仿宋" w:eastAsia="仿宋" w:cs="Times New Roman"/>
          <w:color w:val="auto"/>
          <w:sz w:val="24"/>
          <w:szCs w:val="24"/>
          <w:highlight w:val="none"/>
        </w:rPr>
        <w:br w:type="page"/>
      </w:r>
      <w:bookmarkStart w:id="143" w:name="_Hlk14278350"/>
      <w:r>
        <w:rPr>
          <w:rFonts w:hint="eastAsia" w:ascii="仿宋" w:hAnsi="仿宋" w:eastAsia="仿宋" w:cs="仿宋"/>
          <w:b/>
          <w:bCs/>
          <w:color w:val="auto"/>
          <w:sz w:val="30"/>
          <w:szCs w:val="30"/>
          <w:highlight w:val="none"/>
          <w:lang w:eastAsia="zh-CN"/>
        </w:rPr>
        <w:t>报价明细表</w:t>
      </w:r>
    </w:p>
    <w:p>
      <w:pPr>
        <w:pStyle w:val="56"/>
        <w:numPr>
          <w:ilvl w:val="0"/>
          <w:numId w:val="0"/>
        </w:numPr>
        <w:ind w:left="330" w:leftChars="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项目名称：</w:t>
      </w:r>
    </w:p>
    <w:p>
      <w:pPr>
        <w:pStyle w:val="56"/>
        <w:numPr>
          <w:ilvl w:val="0"/>
          <w:numId w:val="0"/>
        </w:numPr>
        <w:ind w:left="330" w:leftChars="0"/>
        <w:jc w:val="left"/>
        <w:rPr>
          <w:rFonts w:hint="eastAsia"/>
          <w:color w:val="auto"/>
          <w:highlight w:val="none"/>
          <w:lang w:eastAsia="zh-CN"/>
        </w:rPr>
      </w:pPr>
      <w:r>
        <w:rPr>
          <w:rFonts w:hint="eastAsia" w:ascii="仿宋" w:hAnsi="仿宋" w:eastAsia="仿宋" w:cs="仿宋"/>
          <w:color w:val="auto"/>
          <w:sz w:val="24"/>
          <w:szCs w:val="28"/>
          <w:highlight w:val="none"/>
          <w:lang w:eastAsia="zh-CN"/>
        </w:rPr>
        <w:t>项目编号：</w:t>
      </w:r>
    </w:p>
    <w:tbl>
      <w:tblPr>
        <w:tblStyle w:val="39"/>
        <w:tblpPr w:leftFromText="180" w:rightFromText="180" w:vertAnchor="text" w:horzAnchor="page" w:tblpX="1143" w:tblpY="1010"/>
        <w:tblOverlap w:val="never"/>
        <w:tblW w:w="98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8"/>
        <w:gridCol w:w="1132"/>
        <w:gridCol w:w="765"/>
        <w:gridCol w:w="544"/>
        <w:gridCol w:w="707"/>
        <w:gridCol w:w="544"/>
        <w:gridCol w:w="970"/>
        <w:gridCol w:w="44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序号</w:t>
            </w:r>
          </w:p>
        </w:tc>
        <w:tc>
          <w:tcPr>
            <w:tcW w:w="189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工程项目</w:t>
            </w: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单位</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工程量</w:t>
            </w: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auto"/>
                <w:kern w:val="0"/>
                <w:sz w:val="18"/>
                <w:szCs w:val="18"/>
                <w:highlight w:val="none"/>
                <w:u w:val="none"/>
                <w:lang w:val="en-US" w:eastAsia="zh-CN" w:bidi="ar"/>
              </w:rPr>
            </w:pPr>
            <w:r>
              <w:rPr>
                <w:rFonts w:hint="eastAsia" w:ascii="宋体" w:hAnsi="宋体" w:eastAsia="宋体" w:cs="宋体"/>
                <w:b/>
                <w:bCs/>
                <w:i w:val="0"/>
                <w:iCs w:val="0"/>
                <w:color w:val="auto"/>
                <w:kern w:val="0"/>
                <w:sz w:val="18"/>
                <w:szCs w:val="18"/>
                <w:highlight w:val="none"/>
                <w:u w:val="none"/>
                <w:lang w:val="en-US" w:eastAsia="zh-CN" w:bidi="ar"/>
              </w:rPr>
              <w:t>单价</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auto"/>
                <w:kern w:val="0"/>
                <w:sz w:val="18"/>
                <w:szCs w:val="18"/>
                <w:highlight w:val="none"/>
                <w:u w:val="none"/>
                <w:lang w:val="en-US" w:eastAsia="zh-CN" w:bidi="ar"/>
              </w:rPr>
            </w:pPr>
            <w:r>
              <w:rPr>
                <w:rFonts w:hint="eastAsia" w:ascii="宋体" w:hAnsi="宋体" w:eastAsia="宋体" w:cs="宋体"/>
                <w:b/>
                <w:bCs/>
                <w:i w:val="0"/>
                <w:iCs w:val="0"/>
                <w:color w:val="auto"/>
                <w:kern w:val="0"/>
                <w:sz w:val="18"/>
                <w:szCs w:val="18"/>
                <w:highlight w:val="none"/>
                <w:u w:val="none"/>
                <w:lang w:val="en-US" w:eastAsia="zh-CN" w:bidi="ar"/>
              </w:rPr>
              <w:t>合价</w:t>
            </w:r>
          </w:p>
        </w:tc>
        <w:tc>
          <w:tcPr>
            <w:tcW w:w="4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材料及工艺做法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8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移苗</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微软雅黑" w:hAnsi="微软雅黑" w:eastAsia="微软雅黑" w:cs="微软雅黑"/>
                <w:i w:val="0"/>
                <w:iCs w:val="0"/>
                <w:color w:val="auto"/>
                <w:sz w:val="18"/>
                <w:szCs w:val="18"/>
                <w:highlight w:val="none"/>
                <w:u w:val="none"/>
              </w:rPr>
            </w:pPr>
            <w:r>
              <w:rPr>
                <w:rFonts w:hint="eastAsia" w:ascii="微软雅黑" w:hAnsi="微软雅黑" w:eastAsia="微软雅黑" w:cs="微软雅黑"/>
                <w:i w:val="0"/>
                <w:iCs w:val="0"/>
                <w:color w:val="auto"/>
                <w:kern w:val="0"/>
                <w:sz w:val="18"/>
                <w:szCs w:val="18"/>
                <w:highlight w:val="none"/>
                <w:u w:val="none"/>
                <w:lang w:val="en-US" w:eastAsia="zh-CN" w:bidi="ar"/>
              </w:rPr>
              <w:t>㎡</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210</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36000*6000；将车棚区域绿化苗木移栽至其它区域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18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开挖、压实、外运</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m³</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43.2</w:t>
            </w: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4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36000*6000*200；开挖、外运自行弃土、压实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738" w:type="dxa"/>
            <w:vMerge w:val="restart"/>
            <w:tcBorders>
              <w:left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3</w:t>
            </w:r>
          </w:p>
        </w:tc>
        <w:tc>
          <w:tcPr>
            <w:tcW w:w="1132" w:type="dxa"/>
            <w:vMerge w:val="restart"/>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 xml:space="preserve"> </w:t>
            </w:r>
            <w:r>
              <w:rPr>
                <w:rFonts w:hint="eastAsia" w:ascii="宋体" w:hAnsi="宋体" w:eastAsia="宋体" w:cs="宋体"/>
                <w:i w:val="0"/>
                <w:iCs w:val="0"/>
                <w:color w:val="auto"/>
                <w:kern w:val="0"/>
                <w:sz w:val="18"/>
                <w:szCs w:val="18"/>
                <w:highlight w:val="none"/>
                <w:u w:val="none"/>
                <w:lang w:val="en-US" w:eastAsia="zh-CN" w:bidi="ar"/>
              </w:rPr>
              <w:t>立柱承台</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500*500*800（7组）</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开挖、外运</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组</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w:t>
            </w: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4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开挖、外运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738" w:type="dxa"/>
            <w:vMerge w:val="continue"/>
            <w:tcBorders>
              <w:left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highlight w:val="none"/>
                <w:u w:val="none"/>
              </w:rPr>
            </w:pPr>
          </w:p>
        </w:tc>
        <w:tc>
          <w:tcPr>
            <w:tcW w:w="1132"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钢筋笼、化学锚栓</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组</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w:t>
            </w: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4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φ</w:t>
            </w:r>
            <w:r>
              <w:rPr>
                <w:rFonts w:hint="eastAsia" w:ascii="宋体" w:hAnsi="宋体" w:eastAsia="宋体" w:cs="宋体"/>
                <w:i w:val="0"/>
                <w:iCs w:val="0"/>
                <w:color w:val="auto"/>
                <w:kern w:val="0"/>
                <w:sz w:val="18"/>
                <w:szCs w:val="18"/>
                <w:highlight w:val="none"/>
                <w:u w:val="none"/>
                <w:lang w:val="en-US" w:eastAsia="zh-CN" w:bidi="ar"/>
              </w:rPr>
              <w:t>20螺纹钢、化学锚栓（</w:t>
            </w:r>
            <w:r>
              <w:rPr>
                <w:rFonts w:hint="eastAsia" w:ascii="仿宋" w:hAnsi="仿宋" w:eastAsia="仿宋" w:cs="仿宋"/>
                <w:i w:val="0"/>
                <w:iCs w:val="0"/>
                <w:color w:val="auto"/>
                <w:kern w:val="0"/>
                <w:sz w:val="18"/>
                <w:szCs w:val="18"/>
                <w:highlight w:val="none"/>
                <w:u w:val="none"/>
                <w:lang w:val="en-US" w:eastAsia="zh-CN" w:bidi="ar"/>
              </w:rPr>
              <w:t>M22*66)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738" w:type="dxa"/>
            <w:vMerge w:val="continue"/>
            <w:tcBorders>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highlight w:val="none"/>
                <w:u w:val="none"/>
              </w:rPr>
            </w:pPr>
          </w:p>
        </w:tc>
        <w:tc>
          <w:tcPr>
            <w:tcW w:w="1132"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混凝土浇筑</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m³</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w:t>
            </w: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4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仿宋" w:hAnsi="仿宋" w:eastAsia="仿宋" w:cs="仿宋"/>
                <w:i w:val="0"/>
                <w:iCs w:val="0"/>
                <w:color w:val="auto"/>
                <w:sz w:val="18"/>
                <w:szCs w:val="18"/>
                <w:highlight w:val="none"/>
                <w:u w:val="none"/>
                <w:lang w:val="en-US"/>
              </w:rPr>
            </w:pPr>
            <w:r>
              <w:rPr>
                <w:rFonts w:hint="eastAsia" w:ascii="仿宋" w:hAnsi="仿宋" w:eastAsia="仿宋" w:cs="仿宋"/>
                <w:i w:val="0"/>
                <w:iCs w:val="0"/>
                <w:color w:val="auto"/>
                <w:kern w:val="0"/>
                <w:sz w:val="18"/>
                <w:szCs w:val="18"/>
                <w:highlight w:val="none"/>
                <w:u w:val="none"/>
                <w:lang w:val="en-US" w:eastAsia="zh-CN" w:bidi="ar"/>
              </w:rPr>
              <w:t xml:space="preserve">c30混凝土浇筑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18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砖屑、碎石层</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项</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4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100厚砖屑、碎石压实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18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垫层</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m</w:t>
            </w:r>
            <w:r>
              <w:rPr>
                <w:rFonts w:hint="eastAsia" w:ascii="微软雅黑" w:hAnsi="微软雅黑" w:eastAsia="微软雅黑" w:cs="微软雅黑"/>
                <w:i w:val="0"/>
                <w:iCs w:val="0"/>
                <w:color w:val="auto"/>
                <w:kern w:val="0"/>
                <w:sz w:val="18"/>
                <w:szCs w:val="18"/>
                <w:highlight w:val="none"/>
                <w:u w:val="none"/>
                <w:lang w:val="en-US" w:eastAsia="zh-CN" w:bidi="ar"/>
              </w:rPr>
              <w:t>³</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6.48</w:t>
            </w: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4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36000* 6000*30；C15商砼、含人工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18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场地浇注</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m³</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15.12</w:t>
            </w: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4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36000* 6000*70；C30商砼、含人工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38" w:type="dxa"/>
            <w:vMerge w:val="restart"/>
            <w:tcBorders>
              <w:top w:val="single" w:color="000000" w:sz="4" w:space="0"/>
              <w:left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7</w:t>
            </w:r>
          </w:p>
        </w:tc>
        <w:tc>
          <w:tcPr>
            <w:tcW w:w="1132"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张拉膜车棚（36000*5500）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矩形管</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支</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w:t>
            </w: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4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200*100*3（6m/支）；含制作费；防锈底漆、面漆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38" w:type="dxa"/>
            <w:vMerge w:val="continue"/>
            <w:tcBorders>
              <w:left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highlight w:val="none"/>
                <w:u w:val="none"/>
              </w:rPr>
            </w:pPr>
          </w:p>
        </w:tc>
        <w:tc>
          <w:tcPr>
            <w:tcW w:w="1132"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圆管</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支</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4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φ114*4（6m/支）；含制作费；防锈底漆、面漆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38" w:type="dxa"/>
            <w:vMerge w:val="continue"/>
            <w:tcBorders>
              <w:left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highlight w:val="none"/>
                <w:u w:val="none"/>
              </w:rPr>
            </w:pPr>
          </w:p>
        </w:tc>
        <w:tc>
          <w:tcPr>
            <w:tcW w:w="1132"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圆管</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支</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w:t>
            </w: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4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Ф89*3（6m/支）；含制作费；防锈底漆、面漆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38" w:type="dxa"/>
            <w:vMerge w:val="continue"/>
            <w:tcBorders>
              <w:left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highlight w:val="none"/>
                <w:u w:val="none"/>
              </w:rPr>
            </w:pPr>
          </w:p>
        </w:tc>
        <w:tc>
          <w:tcPr>
            <w:tcW w:w="1132"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H钢</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支</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4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300*150（6m/支）；含制作费；防锈底漆、面漆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38" w:type="dxa"/>
            <w:vMerge w:val="continue"/>
            <w:tcBorders>
              <w:left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highlight w:val="none"/>
                <w:u w:val="none"/>
              </w:rPr>
            </w:pPr>
          </w:p>
        </w:tc>
        <w:tc>
          <w:tcPr>
            <w:tcW w:w="1132"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不锈钢排水沟</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m</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38</w:t>
            </w: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4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304（3.0）制作、安装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38" w:type="dxa"/>
            <w:vMerge w:val="continue"/>
            <w:tcBorders>
              <w:left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highlight w:val="none"/>
                <w:u w:val="none"/>
              </w:rPr>
            </w:pPr>
          </w:p>
        </w:tc>
        <w:tc>
          <w:tcPr>
            <w:tcW w:w="1132"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预埋板</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套</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w:t>
            </w: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4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230*540*20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38" w:type="dxa"/>
            <w:vMerge w:val="continue"/>
            <w:tcBorders>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highlight w:val="none"/>
                <w:u w:val="none"/>
              </w:rPr>
            </w:pPr>
          </w:p>
        </w:tc>
        <w:tc>
          <w:tcPr>
            <w:tcW w:w="1132"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膜布</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highlight w:val="none"/>
                <w:u w:val="none"/>
              </w:rPr>
            </w:pPr>
            <w:r>
              <w:rPr>
                <w:rFonts w:hint="eastAsia" w:ascii="微软雅黑" w:hAnsi="微软雅黑" w:eastAsia="微软雅黑" w:cs="微软雅黑"/>
                <w:i w:val="0"/>
                <w:iCs w:val="0"/>
                <w:color w:val="auto"/>
                <w:kern w:val="0"/>
                <w:sz w:val="18"/>
                <w:szCs w:val="18"/>
                <w:highlight w:val="none"/>
                <w:u w:val="none"/>
                <w:lang w:val="en-US" w:eastAsia="zh-CN" w:bidi="ar"/>
              </w:rPr>
              <w:t>㎡</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237.6</w:t>
            </w: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4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36000*3300*2（1100g)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w:t>
            </w:r>
          </w:p>
        </w:tc>
        <w:tc>
          <w:tcPr>
            <w:tcW w:w="18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线路</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m</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240</w:t>
            </w: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4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3*10电缆（四路）、含破路接线、线管、人工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w:t>
            </w:r>
          </w:p>
        </w:tc>
        <w:tc>
          <w:tcPr>
            <w:tcW w:w="18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充电线方管</w:t>
            </w: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auto"/>
                <w:sz w:val="16"/>
                <w:szCs w:val="16"/>
                <w:highlight w:val="none"/>
                <w:u w:val="none"/>
              </w:rPr>
            </w:pPr>
            <w:r>
              <w:rPr>
                <w:rFonts w:ascii="宋体" w:hAnsi="宋体" w:eastAsia="宋体" w:cs="宋体"/>
                <w:i w:val="0"/>
                <w:iCs w:val="0"/>
                <w:color w:val="auto"/>
                <w:kern w:val="0"/>
                <w:sz w:val="16"/>
                <w:szCs w:val="16"/>
                <w:highlight w:val="none"/>
                <w:u w:val="none"/>
                <w:lang w:val="en-US" w:eastAsia="zh-CN" w:bidi="ar"/>
              </w:rPr>
              <w:t>m</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36</w:t>
            </w: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4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方管、开孔、安装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18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智能充电桩</w:t>
            </w: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auto"/>
                <w:sz w:val="16"/>
                <w:szCs w:val="16"/>
                <w:highlight w:val="none"/>
                <w:u w:val="none"/>
              </w:rPr>
            </w:pPr>
            <w:r>
              <w:rPr>
                <w:rFonts w:ascii="宋体" w:hAnsi="宋体" w:eastAsia="宋体" w:cs="宋体"/>
                <w:i w:val="0"/>
                <w:iCs w:val="0"/>
                <w:color w:val="auto"/>
                <w:kern w:val="0"/>
                <w:sz w:val="16"/>
                <w:szCs w:val="16"/>
                <w:highlight w:val="none"/>
                <w:u w:val="none"/>
                <w:lang w:val="en-US" w:eastAsia="zh-CN" w:bidi="ar"/>
              </w:rPr>
              <w:t>套</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12</w:t>
            </w: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4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1-10路充电桩；含电线、五孔插座并负责线路插座安装，智能控制插座通电与断电。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w:t>
            </w:r>
          </w:p>
        </w:tc>
        <w:tc>
          <w:tcPr>
            <w:tcW w:w="18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停车位支架</w:t>
            </w: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auto"/>
                <w:sz w:val="16"/>
                <w:szCs w:val="16"/>
                <w:highlight w:val="none"/>
                <w:u w:val="none"/>
              </w:rPr>
            </w:pPr>
            <w:r>
              <w:rPr>
                <w:rFonts w:ascii="宋体" w:hAnsi="宋体" w:eastAsia="宋体" w:cs="宋体"/>
                <w:i w:val="0"/>
                <w:iCs w:val="0"/>
                <w:color w:val="auto"/>
                <w:kern w:val="0"/>
                <w:sz w:val="16"/>
                <w:szCs w:val="16"/>
                <w:highlight w:val="none"/>
                <w:u w:val="none"/>
                <w:lang w:val="en-US" w:eastAsia="zh-CN" w:bidi="ar"/>
              </w:rPr>
              <w:t>组</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36</w:t>
            </w: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4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2米3车位;含配件、安装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w:t>
            </w:r>
          </w:p>
        </w:tc>
        <w:tc>
          <w:tcPr>
            <w:tcW w:w="18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led 照明灯</w:t>
            </w: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auto"/>
                <w:sz w:val="16"/>
                <w:szCs w:val="16"/>
                <w:highlight w:val="none"/>
                <w:u w:val="none"/>
              </w:rPr>
            </w:pPr>
            <w:r>
              <w:rPr>
                <w:rFonts w:ascii="宋体" w:hAnsi="宋体" w:eastAsia="宋体" w:cs="宋体"/>
                <w:i w:val="0"/>
                <w:iCs w:val="0"/>
                <w:color w:val="auto"/>
                <w:kern w:val="0"/>
                <w:sz w:val="16"/>
                <w:szCs w:val="16"/>
                <w:highlight w:val="none"/>
                <w:u w:val="none"/>
                <w:lang w:val="en-US" w:eastAsia="zh-CN" w:bidi="ar"/>
              </w:rPr>
              <w:t>组</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12</w:t>
            </w: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4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led照明灯、线路、安装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w:t>
            </w:r>
          </w:p>
        </w:tc>
        <w:tc>
          <w:tcPr>
            <w:tcW w:w="18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下水管道</w:t>
            </w: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auto"/>
                <w:sz w:val="16"/>
                <w:szCs w:val="16"/>
                <w:highlight w:val="none"/>
                <w:u w:val="none"/>
              </w:rPr>
            </w:pPr>
            <w:r>
              <w:rPr>
                <w:rFonts w:ascii="宋体" w:hAnsi="宋体" w:eastAsia="宋体" w:cs="宋体"/>
                <w:i w:val="0"/>
                <w:iCs w:val="0"/>
                <w:color w:val="auto"/>
                <w:kern w:val="0"/>
                <w:sz w:val="16"/>
                <w:szCs w:val="16"/>
                <w:highlight w:val="none"/>
                <w:u w:val="none"/>
                <w:lang w:val="en-US" w:eastAsia="zh-CN" w:bidi="ar"/>
              </w:rPr>
              <w:t>m</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60</w:t>
            </w: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4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Ф160排水管，开挖、铺设、垫层、中沙包盖，连接至雨水管网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w:t>
            </w:r>
          </w:p>
        </w:tc>
        <w:tc>
          <w:tcPr>
            <w:tcW w:w="18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直接费用</w:t>
            </w: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6"/>
                <w:szCs w:val="16"/>
                <w:highlight w:val="none"/>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16"/>
                <w:szCs w:val="16"/>
                <w:highlight w:val="none"/>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16"/>
                <w:szCs w:val="16"/>
                <w:highlight w:val="none"/>
                <w:u w:val="none"/>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16"/>
                <w:szCs w:val="16"/>
                <w:highlight w:val="none"/>
                <w:u w:val="none"/>
              </w:rPr>
            </w:pPr>
          </w:p>
        </w:tc>
        <w:tc>
          <w:tcPr>
            <w:tcW w:w="4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w:t>
            </w:r>
          </w:p>
        </w:tc>
        <w:tc>
          <w:tcPr>
            <w:tcW w:w="18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税率*9%</w:t>
            </w: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6"/>
                <w:szCs w:val="16"/>
                <w:highlight w:val="none"/>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16"/>
                <w:szCs w:val="16"/>
                <w:highlight w:val="none"/>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16"/>
                <w:szCs w:val="16"/>
                <w:highlight w:val="none"/>
                <w:u w:val="none"/>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16"/>
                <w:szCs w:val="16"/>
                <w:highlight w:val="none"/>
                <w:u w:val="none"/>
              </w:rPr>
            </w:pPr>
          </w:p>
        </w:tc>
        <w:tc>
          <w:tcPr>
            <w:tcW w:w="4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w:t>
            </w:r>
          </w:p>
        </w:tc>
        <w:tc>
          <w:tcPr>
            <w:tcW w:w="18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项目总价</w:t>
            </w:r>
          </w:p>
        </w:tc>
        <w:tc>
          <w:tcPr>
            <w:tcW w:w="720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大写:                    (¥          ）</w:t>
            </w:r>
          </w:p>
        </w:tc>
      </w:tr>
    </w:tbl>
    <w:p>
      <w:pPr>
        <w:rPr>
          <w:rFonts w:hint="eastAsia"/>
          <w:color w:val="auto"/>
          <w:highlight w:val="none"/>
          <w:lang w:eastAsia="zh-CN"/>
        </w:rPr>
      </w:pPr>
    </w:p>
    <w:p>
      <w:pPr>
        <w:tabs>
          <w:tab w:val="left" w:pos="1050"/>
          <w:tab w:val="right" w:leader="dot" w:pos="9402"/>
        </w:tabs>
        <w:jc w:val="left"/>
        <w:outlineLvl w:val="0"/>
        <w:rPr>
          <w:rFonts w:ascii="仿宋" w:hAnsi="仿宋" w:eastAsia="仿宋" w:cs="黑体"/>
          <w:color w:val="auto"/>
          <w:sz w:val="24"/>
          <w:szCs w:val="24"/>
          <w:highlight w:val="none"/>
        </w:rPr>
      </w:pPr>
      <w:r>
        <w:rPr>
          <w:rFonts w:hint="eastAsia" w:ascii="仿宋" w:hAnsi="仿宋" w:eastAsia="仿宋" w:cs="黑体"/>
          <w:color w:val="auto"/>
          <w:sz w:val="24"/>
          <w:szCs w:val="24"/>
          <w:highlight w:val="none"/>
        </w:rPr>
        <w:t>注明：</w:t>
      </w:r>
    </w:p>
    <w:p>
      <w:pPr>
        <w:numPr>
          <w:ilvl w:val="0"/>
          <w:numId w:val="5"/>
        </w:numPr>
        <w:tabs>
          <w:tab w:val="left" w:pos="1050"/>
          <w:tab w:val="right" w:leader="dot" w:pos="9402"/>
        </w:tabs>
        <w:jc w:val="left"/>
        <w:outlineLvl w:val="0"/>
        <w:rPr>
          <w:rFonts w:ascii="仿宋" w:hAnsi="仿宋" w:eastAsia="仿宋" w:cs="黑体"/>
          <w:color w:val="auto"/>
          <w:sz w:val="24"/>
          <w:szCs w:val="24"/>
          <w:highlight w:val="none"/>
        </w:rPr>
      </w:pPr>
      <w:r>
        <w:rPr>
          <w:rFonts w:hint="eastAsia" w:ascii="仿宋" w:hAnsi="仿宋" w:eastAsia="仿宋"/>
          <w:color w:val="auto"/>
          <w:sz w:val="24"/>
          <w:szCs w:val="24"/>
          <w:highlight w:val="none"/>
        </w:rPr>
        <w:t>此表可以根据需要自行增</w:t>
      </w:r>
      <w:r>
        <w:rPr>
          <w:rFonts w:hint="eastAsia" w:ascii="仿宋" w:hAnsi="仿宋" w:eastAsia="仿宋"/>
          <w:color w:val="auto"/>
          <w:sz w:val="24"/>
          <w:szCs w:val="24"/>
          <w:highlight w:val="none"/>
          <w:lang w:eastAsia="zh-CN"/>
        </w:rPr>
        <w:t>加</w:t>
      </w:r>
      <w:r>
        <w:rPr>
          <w:rFonts w:hint="eastAsia" w:ascii="仿宋" w:hAnsi="仿宋" w:eastAsia="仿宋"/>
          <w:color w:val="auto"/>
          <w:sz w:val="24"/>
          <w:szCs w:val="24"/>
          <w:highlight w:val="none"/>
        </w:rPr>
        <w:t>行数，且该表报价非本次</w:t>
      </w:r>
      <w:r>
        <w:rPr>
          <w:rFonts w:hint="eastAsia" w:ascii="仿宋" w:hAnsi="仿宋" w:eastAsia="仿宋"/>
          <w:color w:val="auto"/>
          <w:sz w:val="24"/>
          <w:szCs w:val="24"/>
          <w:highlight w:val="none"/>
          <w:lang w:eastAsia="zh-CN"/>
        </w:rPr>
        <w:t>谈判</w:t>
      </w:r>
      <w:r>
        <w:rPr>
          <w:rFonts w:hint="eastAsia" w:ascii="仿宋" w:hAnsi="仿宋" w:eastAsia="仿宋"/>
          <w:color w:val="auto"/>
          <w:sz w:val="24"/>
          <w:szCs w:val="24"/>
          <w:highlight w:val="none"/>
        </w:rPr>
        <w:t>中的最后报价。</w:t>
      </w:r>
      <w:r>
        <w:rPr>
          <w:rFonts w:hint="eastAsia" w:ascii="仿宋" w:hAnsi="仿宋" w:eastAsia="仿宋" w:cs="黑体"/>
          <w:color w:val="auto"/>
          <w:sz w:val="24"/>
          <w:szCs w:val="24"/>
          <w:highlight w:val="none"/>
        </w:rPr>
        <w:t>如果不提供详细分项报价将视为未实质性响应谈判文件要求。</w:t>
      </w:r>
    </w:p>
    <w:p>
      <w:pPr>
        <w:numPr>
          <w:ilvl w:val="0"/>
          <w:numId w:val="5"/>
        </w:numPr>
        <w:tabs>
          <w:tab w:val="left" w:pos="1050"/>
          <w:tab w:val="right" w:leader="dot" w:pos="9402"/>
        </w:tabs>
        <w:jc w:val="left"/>
        <w:outlineLvl w:val="0"/>
        <w:rPr>
          <w:rFonts w:ascii="仿宋" w:hAnsi="仿宋" w:eastAsia="仿宋" w:cs="黑体"/>
          <w:color w:val="auto"/>
          <w:sz w:val="24"/>
          <w:szCs w:val="24"/>
          <w:highlight w:val="none"/>
        </w:rPr>
      </w:pPr>
      <w:r>
        <w:rPr>
          <w:rFonts w:hint="eastAsia" w:ascii="仿宋" w:hAnsi="仿宋" w:eastAsia="仿宋" w:cs="黑体"/>
          <w:color w:val="auto"/>
          <w:sz w:val="24"/>
          <w:szCs w:val="24"/>
          <w:highlight w:val="none"/>
        </w:rPr>
        <w:t>如果按综合单价计算的结果与总价不一致，以综合单价为准，修正总价。</w:t>
      </w:r>
    </w:p>
    <w:p>
      <w:pPr>
        <w:tabs>
          <w:tab w:val="left" w:pos="1050"/>
          <w:tab w:val="right" w:leader="dot" w:pos="9402"/>
        </w:tabs>
        <w:jc w:val="left"/>
        <w:outlineLvl w:val="0"/>
        <w:rPr>
          <w:rFonts w:ascii="仿宋" w:hAnsi="仿宋" w:eastAsia="仿宋" w:cs="黑体"/>
          <w:b/>
          <w:color w:val="auto"/>
          <w:sz w:val="24"/>
          <w:szCs w:val="24"/>
          <w:highlight w:val="none"/>
        </w:rPr>
      </w:pPr>
      <w:r>
        <w:rPr>
          <w:rFonts w:hint="eastAsia" w:ascii="仿宋" w:hAnsi="仿宋" w:eastAsia="仿宋" w:cs="黑体"/>
          <w:color w:val="auto"/>
          <w:sz w:val="24"/>
          <w:szCs w:val="24"/>
          <w:highlight w:val="none"/>
        </w:rPr>
        <w:t>（3）最终综合单价按照谈判的总价同比例下浮。</w:t>
      </w:r>
    </w:p>
    <w:bookmarkEnd w:id="143"/>
    <w:p>
      <w:pPr>
        <w:widowControl/>
        <w:jc w:val="left"/>
        <w:rPr>
          <w:rFonts w:ascii="仿宋" w:hAnsi="仿宋" w:eastAsia="仿宋" w:cs="黑体"/>
          <w:color w:val="auto"/>
          <w:kern w:val="0"/>
          <w:sz w:val="20"/>
          <w:szCs w:val="20"/>
          <w:highlight w:val="none"/>
        </w:rPr>
      </w:pPr>
    </w:p>
    <w:p>
      <w:pPr>
        <w:snapToGrid w:val="0"/>
        <w:spacing w:line="360" w:lineRule="auto"/>
        <w:ind w:firstLine="360" w:firstLineChars="150"/>
        <w:rPr>
          <w:rFonts w:ascii="仿宋" w:hAnsi="仿宋" w:eastAsia="仿宋" w:cs="黑体"/>
          <w:color w:val="auto"/>
          <w:kern w:val="0"/>
          <w:sz w:val="20"/>
          <w:szCs w:val="20"/>
          <w:highlight w:val="none"/>
        </w:rPr>
      </w:pPr>
      <w:r>
        <w:rPr>
          <w:rFonts w:hint="eastAsia" w:ascii="仿宋" w:hAnsi="仿宋" w:eastAsia="仿宋" w:cs="黑体"/>
          <w:color w:val="auto"/>
          <w:sz w:val="24"/>
          <w:szCs w:val="24"/>
          <w:highlight w:val="none"/>
        </w:rPr>
        <w:br w:type="page"/>
      </w:r>
    </w:p>
    <w:p>
      <w:pPr>
        <w:kinsoku w:val="0"/>
        <w:topLinePunct/>
        <w:snapToGrid w:val="0"/>
        <w:spacing w:line="420" w:lineRule="exact"/>
        <w:rPr>
          <w:rFonts w:ascii="仿宋" w:hAnsi="仿宋" w:eastAsia="仿宋" w:cs="宋体"/>
          <w:b/>
          <w:bCs/>
          <w:color w:val="auto"/>
          <w:sz w:val="24"/>
          <w:szCs w:val="24"/>
          <w:highlight w:val="none"/>
        </w:rPr>
      </w:pPr>
    </w:p>
    <w:p>
      <w:pPr>
        <w:kinsoku w:val="0"/>
        <w:topLinePunct/>
        <w:snapToGrid w:val="0"/>
        <w:spacing w:line="420" w:lineRule="exact"/>
        <w:jc w:val="center"/>
        <w:rPr>
          <w:rFonts w:ascii="仿宋" w:hAnsi="仿宋" w:eastAsia="仿宋" w:cs="Times New Roman"/>
          <w:bCs/>
          <w:color w:val="auto"/>
          <w:sz w:val="24"/>
          <w:szCs w:val="24"/>
          <w:highlight w:val="none"/>
        </w:rPr>
      </w:pPr>
      <w:r>
        <w:rPr>
          <w:rFonts w:hint="eastAsia" w:ascii="仿宋" w:hAnsi="仿宋" w:eastAsia="仿宋" w:cs="宋体"/>
          <w:b/>
          <w:bCs/>
          <w:color w:val="auto"/>
          <w:sz w:val="24"/>
          <w:szCs w:val="24"/>
          <w:highlight w:val="none"/>
        </w:rPr>
        <w:t>3、谈判响应报价表（最终）</w:t>
      </w:r>
    </w:p>
    <w:p>
      <w:pPr>
        <w:snapToGrid w:val="0"/>
        <w:spacing w:line="360" w:lineRule="auto"/>
        <w:jc w:val="center"/>
        <w:rPr>
          <w:rFonts w:ascii="仿宋" w:hAnsi="仿宋" w:eastAsia="仿宋" w:cs="宋体"/>
          <w:b/>
          <w:bCs/>
          <w:color w:val="auto"/>
          <w:sz w:val="24"/>
          <w:szCs w:val="24"/>
          <w:highlight w:val="none"/>
        </w:rPr>
      </w:pPr>
    </w:p>
    <w:p>
      <w:pPr>
        <w:snapToGrid w:val="0"/>
        <w:spacing w:line="360" w:lineRule="auto"/>
        <w:ind w:firstLine="600" w:firstLineChars="25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项目编号：</w:t>
      </w:r>
    </w:p>
    <w:tbl>
      <w:tblPr>
        <w:tblStyle w:val="3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326"/>
        <w:gridCol w:w="57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6" w:hRule="atLeast"/>
          <w:jc w:val="center"/>
        </w:trPr>
        <w:tc>
          <w:tcPr>
            <w:tcW w:w="2326" w:type="dxa"/>
            <w:tcBorders>
              <w:top w:val="single" w:color="auto" w:sz="4" w:space="0"/>
              <w:left w:val="single" w:color="auto" w:sz="4" w:space="0"/>
              <w:bottom w:val="single" w:color="auto" w:sz="4" w:space="0"/>
              <w:right w:val="single" w:color="auto" w:sz="4" w:space="0"/>
            </w:tcBorders>
            <w:vAlign w:val="center"/>
          </w:tcPr>
          <w:p>
            <w:pPr>
              <w:kinsoku w:val="0"/>
              <w:topLinePunct/>
              <w:snapToGrid w:val="0"/>
              <w:spacing w:line="420" w:lineRule="exact"/>
              <w:jc w:val="center"/>
              <w:rPr>
                <w:rFonts w:ascii="仿宋" w:hAnsi="仿宋" w:eastAsia="仿宋" w:cs="Times New Roman"/>
                <w:color w:val="auto"/>
                <w:sz w:val="24"/>
                <w:szCs w:val="24"/>
                <w:highlight w:val="none"/>
                <w:lang w:eastAsia="en-US"/>
              </w:rPr>
            </w:pPr>
            <w:r>
              <w:rPr>
                <w:rFonts w:hint="eastAsia" w:ascii="仿宋" w:hAnsi="仿宋" w:eastAsia="仿宋" w:cs="Times New Roman"/>
                <w:color w:val="auto"/>
                <w:sz w:val="24"/>
                <w:szCs w:val="24"/>
                <w:highlight w:val="none"/>
                <w:lang w:eastAsia="en-US"/>
              </w:rPr>
              <w:t>项目名称</w:t>
            </w:r>
          </w:p>
        </w:tc>
        <w:tc>
          <w:tcPr>
            <w:tcW w:w="5768" w:type="dxa"/>
            <w:tcBorders>
              <w:top w:val="single" w:color="auto" w:sz="4" w:space="0"/>
              <w:left w:val="single" w:color="auto" w:sz="4" w:space="0"/>
              <w:bottom w:val="single" w:color="auto" w:sz="4" w:space="0"/>
              <w:right w:val="single" w:color="auto" w:sz="4" w:space="0"/>
            </w:tcBorders>
            <w:vAlign w:val="center"/>
          </w:tcPr>
          <w:p>
            <w:pPr>
              <w:kinsoku w:val="0"/>
              <w:topLinePunct/>
              <w:snapToGrid w:val="0"/>
              <w:spacing w:line="420" w:lineRule="exact"/>
              <w:jc w:val="center"/>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谈判报价（元）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9" w:hRule="atLeast"/>
          <w:jc w:val="center"/>
        </w:trPr>
        <w:tc>
          <w:tcPr>
            <w:tcW w:w="2326" w:type="dxa"/>
            <w:tcBorders>
              <w:top w:val="single" w:color="auto" w:sz="4" w:space="0"/>
              <w:left w:val="single" w:color="auto" w:sz="4" w:space="0"/>
              <w:bottom w:val="single" w:color="auto" w:sz="4" w:space="0"/>
              <w:right w:val="single" w:color="auto" w:sz="4" w:space="0"/>
            </w:tcBorders>
            <w:vAlign w:val="center"/>
          </w:tcPr>
          <w:p>
            <w:pPr>
              <w:spacing w:line="520" w:lineRule="exact"/>
              <w:ind w:left="1"/>
              <w:jc w:val="left"/>
              <w:textAlignment w:val="bottom"/>
              <w:rPr>
                <w:rFonts w:ascii="仿宋" w:hAnsi="仿宋" w:eastAsia="仿宋" w:cs="宋体"/>
                <w:b/>
                <w:bCs/>
                <w:color w:val="auto"/>
                <w:kern w:val="0"/>
                <w:sz w:val="24"/>
                <w:szCs w:val="24"/>
                <w:highlight w:val="none"/>
              </w:rPr>
            </w:pPr>
          </w:p>
        </w:tc>
        <w:tc>
          <w:tcPr>
            <w:tcW w:w="5768" w:type="dxa"/>
            <w:tcBorders>
              <w:top w:val="single" w:color="auto" w:sz="4" w:space="0"/>
              <w:left w:val="single" w:color="auto" w:sz="4" w:space="0"/>
              <w:bottom w:val="single" w:color="auto" w:sz="4" w:space="0"/>
              <w:right w:val="single" w:color="auto" w:sz="4" w:space="0"/>
            </w:tcBorders>
            <w:vAlign w:val="center"/>
          </w:tcPr>
          <w:p>
            <w:pPr>
              <w:spacing w:line="520" w:lineRule="exact"/>
              <w:ind w:left="1" w:firstLine="26" w:firstLineChars="11"/>
              <w:textAlignment w:val="bottom"/>
              <w:rPr>
                <w:rFonts w:ascii="仿宋" w:hAnsi="仿宋" w:eastAsia="仿宋" w:cs="宋体"/>
                <w:color w:val="auto"/>
                <w:kern w:val="0"/>
                <w:sz w:val="24"/>
                <w:szCs w:val="24"/>
                <w:highlight w:val="none"/>
              </w:rPr>
            </w:pPr>
            <w:r>
              <w:rPr>
                <w:rFonts w:ascii="仿宋" w:hAnsi="仿宋" w:eastAsia="仿宋" w:cs="宋体"/>
                <w:color w:val="auto"/>
                <w:kern w:val="0"/>
                <w:sz w:val="24"/>
                <w:szCs w:val="24"/>
                <w:highlight w:val="none"/>
              </w:rPr>
              <w:t>大写</w:t>
            </w:r>
            <w:r>
              <w:rPr>
                <w:rFonts w:hint="eastAsia" w:ascii="仿宋" w:hAnsi="仿宋" w:eastAsia="仿宋" w:cs="宋体"/>
                <w:color w:val="auto"/>
                <w:kern w:val="0"/>
                <w:sz w:val="24"/>
                <w:szCs w:val="24"/>
                <w:highlight w:val="none"/>
              </w:rPr>
              <w:t>：</w:t>
            </w:r>
            <w:r>
              <w:rPr>
                <w:rFonts w:ascii="仿宋" w:hAnsi="仿宋" w:eastAsia="仿宋" w:cs="宋体"/>
                <w:color w:val="auto"/>
                <w:kern w:val="0"/>
                <w:sz w:val="24"/>
                <w:szCs w:val="24"/>
                <w:highlight w:val="none"/>
              </w:rPr>
              <w:t>人民币</w:t>
            </w:r>
          </w:p>
          <w:p>
            <w:pPr>
              <w:spacing w:line="520" w:lineRule="exact"/>
              <w:ind w:left="1" w:firstLine="26" w:firstLineChars="11"/>
              <w:textAlignment w:val="bottom"/>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小写：（</w:t>
            </w:r>
            <w:r>
              <w:rPr>
                <w:rFonts w:hint="default" w:ascii="Arial" w:hAnsi="Arial" w:eastAsia="仿宋" w:cs="Arial"/>
                <w:color w:val="auto"/>
                <w:kern w:val="0"/>
                <w:sz w:val="24"/>
                <w:szCs w:val="24"/>
                <w:highlight w:val="none"/>
              </w:rPr>
              <w:t>¥</w:t>
            </w:r>
            <w:r>
              <w:rPr>
                <w:rFonts w:hint="eastAsia" w:ascii="仿宋" w:hAnsi="仿宋" w:eastAsia="仿宋" w:cs="宋体"/>
                <w:color w:val="auto"/>
                <w:kern w:val="0"/>
                <w:sz w:val="24"/>
                <w:szCs w:val="24"/>
                <w:highlight w:val="none"/>
              </w:rPr>
              <w:t>）</w:t>
            </w:r>
          </w:p>
        </w:tc>
      </w:tr>
    </w:tbl>
    <w:p>
      <w:pPr>
        <w:snapToGrid w:val="0"/>
        <w:spacing w:line="360" w:lineRule="auto"/>
        <w:ind w:firstLine="360" w:firstLineChars="150"/>
        <w:rPr>
          <w:rFonts w:ascii="仿宋" w:hAnsi="仿宋" w:eastAsia="仿宋" w:cs="宋体"/>
          <w:color w:val="auto"/>
          <w:sz w:val="24"/>
          <w:szCs w:val="24"/>
          <w:highlight w:val="none"/>
        </w:rPr>
      </w:pPr>
    </w:p>
    <w:p>
      <w:pPr>
        <w:snapToGrid w:val="0"/>
        <w:spacing w:line="360" w:lineRule="auto"/>
        <w:ind w:firstLine="360" w:firstLineChars="15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 xml:space="preserve">谈判供应商：（盖单位公章）             </w:t>
      </w:r>
    </w:p>
    <w:p>
      <w:pPr>
        <w:snapToGrid w:val="0"/>
        <w:spacing w:line="360" w:lineRule="auto"/>
        <w:ind w:firstLine="360" w:firstLineChars="15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法定代表人或被授权人（签字或盖章）</w:t>
      </w:r>
    </w:p>
    <w:p>
      <w:pPr>
        <w:snapToGrid w:val="0"/>
        <w:spacing w:line="360" w:lineRule="auto"/>
        <w:ind w:firstLine="360" w:firstLineChars="15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日期：</w:t>
      </w:r>
    </w:p>
    <w:p>
      <w:pPr>
        <w:tabs>
          <w:tab w:val="left" w:pos="7605"/>
        </w:tabs>
        <w:spacing w:line="400" w:lineRule="exact"/>
        <w:ind w:firstLine="482" w:firstLineChars="200"/>
        <w:rPr>
          <w:rFonts w:ascii="仿宋" w:hAnsi="仿宋" w:eastAsia="仿宋" w:cs="宋体"/>
          <w:b/>
          <w:color w:val="auto"/>
          <w:kern w:val="0"/>
          <w:sz w:val="24"/>
          <w:szCs w:val="24"/>
          <w:highlight w:val="none"/>
        </w:rPr>
      </w:pPr>
    </w:p>
    <w:p>
      <w:pPr>
        <w:tabs>
          <w:tab w:val="left" w:pos="7605"/>
        </w:tabs>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注：1、本表为样表，具体可以自行调整。</w:t>
      </w:r>
    </w:p>
    <w:p>
      <w:pPr>
        <w:adjustRightInd w:val="0"/>
        <w:snapToGrid w:val="0"/>
        <w:ind w:firstLine="960" w:firstLineChars="4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2、最后一次报价不得高于前一</w:t>
      </w:r>
      <w:r>
        <w:rPr>
          <w:rFonts w:hint="eastAsia" w:ascii="仿宋" w:hAnsi="仿宋" w:eastAsia="仿宋" w:cs="宋体"/>
          <w:color w:val="auto"/>
          <w:sz w:val="24"/>
          <w:szCs w:val="24"/>
          <w:highlight w:val="none"/>
          <w:lang w:eastAsia="zh-CN"/>
        </w:rPr>
        <w:t>轮</w:t>
      </w:r>
      <w:r>
        <w:rPr>
          <w:rFonts w:hint="eastAsia" w:ascii="仿宋" w:hAnsi="仿宋" w:eastAsia="仿宋" w:cs="宋体"/>
          <w:color w:val="auto"/>
          <w:sz w:val="24"/>
          <w:szCs w:val="24"/>
          <w:highlight w:val="none"/>
        </w:rPr>
        <w:t>报价</w:t>
      </w:r>
    </w:p>
    <w:p>
      <w:pPr>
        <w:tabs>
          <w:tab w:val="left" w:pos="7605"/>
        </w:tabs>
        <w:ind w:firstLine="960" w:firstLineChars="4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3、最终综合单价按照谈判的总价同比例下浮。</w:t>
      </w:r>
    </w:p>
    <w:p>
      <w:pPr>
        <w:pStyle w:val="2"/>
        <w:ind w:firstLine="1080" w:firstLineChars="450"/>
        <w:rPr>
          <w:rFonts w:ascii="仿宋" w:hAnsi="仿宋" w:eastAsia="仿宋"/>
          <w:color w:val="auto"/>
          <w:sz w:val="24"/>
          <w:szCs w:val="24"/>
          <w:highlight w:val="none"/>
        </w:rPr>
      </w:pPr>
      <w:r>
        <w:rPr>
          <w:rFonts w:hint="eastAsia" w:ascii="仿宋" w:hAnsi="仿宋" w:eastAsia="仿宋"/>
          <w:color w:val="auto"/>
          <w:sz w:val="24"/>
          <w:szCs w:val="24"/>
          <w:highlight w:val="none"/>
        </w:rPr>
        <w:t>4、谈判</w:t>
      </w:r>
      <w:r>
        <w:rPr>
          <w:rFonts w:ascii="仿宋" w:hAnsi="仿宋" w:eastAsia="仿宋"/>
          <w:color w:val="auto"/>
          <w:sz w:val="24"/>
          <w:szCs w:val="24"/>
          <w:highlight w:val="none"/>
        </w:rPr>
        <w:t>响应文件报价表（最终</w:t>
      </w:r>
      <w:r>
        <w:rPr>
          <w:rFonts w:hint="eastAsia" w:ascii="仿宋" w:hAnsi="仿宋" w:eastAsia="仿宋"/>
          <w:color w:val="auto"/>
          <w:sz w:val="24"/>
          <w:szCs w:val="24"/>
          <w:highlight w:val="none"/>
        </w:rPr>
        <w:t>），</w:t>
      </w:r>
      <w:r>
        <w:rPr>
          <w:rFonts w:ascii="仿宋" w:hAnsi="仿宋" w:eastAsia="仿宋"/>
          <w:color w:val="auto"/>
          <w:sz w:val="24"/>
          <w:szCs w:val="24"/>
          <w:highlight w:val="none"/>
        </w:rPr>
        <w:t>此表的投标报价请空着</w:t>
      </w:r>
      <w:r>
        <w:rPr>
          <w:rFonts w:hint="eastAsia" w:ascii="仿宋" w:hAnsi="仿宋" w:eastAsia="仿宋"/>
          <w:color w:val="auto"/>
          <w:sz w:val="24"/>
          <w:szCs w:val="24"/>
          <w:highlight w:val="none"/>
        </w:rPr>
        <w:t>，</w:t>
      </w:r>
      <w:r>
        <w:rPr>
          <w:rFonts w:ascii="仿宋" w:hAnsi="仿宋" w:eastAsia="仿宋"/>
          <w:color w:val="auto"/>
          <w:sz w:val="24"/>
          <w:szCs w:val="24"/>
          <w:highlight w:val="none"/>
        </w:rPr>
        <w:t>在开标现场填写</w:t>
      </w:r>
      <w:r>
        <w:rPr>
          <w:rFonts w:hint="eastAsia" w:ascii="仿宋" w:hAnsi="仿宋" w:eastAsia="仿宋"/>
          <w:color w:val="auto"/>
          <w:sz w:val="24"/>
          <w:szCs w:val="24"/>
          <w:highlight w:val="none"/>
        </w:rPr>
        <w:t>，需提前加盖公章。</w:t>
      </w:r>
    </w:p>
    <w:p>
      <w:pPr>
        <w:pStyle w:val="2"/>
        <w:rPr>
          <w:color w:val="auto"/>
          <w:highlight w:val="none"/>
        </w:rPr>
      </w:pPr>
    </w:p>
    <w:sectPr>
      <w:headerReference r:id="rId8" w:type="default"/>
      <w:footerReference r:id="rId9" w:type="default"/>
      <w:footerReference r:id="rId10" w:type="even"/>
      <w:pgSz w:w="11906" w:h="16838"/>
      <w:pgMar w:top="1015" w:right="1191" w:bottom="867" w:left="1417" w:header="851" w:footer="907" w:gutter="0"/>
      <w:cols w:space="720" w:num="1"/>
      <w:titlePg/>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方正楷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Book Antiqua">
    <w:panose1 w:val="02040602050305030304"/>
    <w:charset w:val="00"/>
    <w:family w:val="roman"/>
    <w:pitch w:val="default"/>
    <w:sig w:usb0="00000287"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方正姚体">
    <w:panose1 w:val="02010601030101010101"/>
    <w:charset w:val="86"/>
    <w:family w:val="auto"/>
    <w:pitch w:val="default"/>
    <w:sig w:usb0="00000003"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方正黑体_GBK">
    <w:altName w:val="微软雅黑"/>
    <w:panose1 w:val="00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right="360"/>
      <w:rPr>
        <w:rStyle w:val="43"/>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GhpgkvTAAAABQEAAA8AAAAAAAAAAQAgAAAAIgAA&#10;AGRycy9kb3ducmV2LnhtbFBLAQIUABQAAAAIAIdO4kD8gOBC1AEAAKYDAAAOAAAAAAAAAAEAIAAA&#10;ACIBAABkcnMvZTJvRG9jLnhtbFBLBQYAAAAABgAGAFkBAABoBQAAAAA=&#10;">
              <v:fill on="f" focussize="0,0"/>
              <v:stroke on="f" weight="1.2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p>
                </w:txbxContent>
              </v:textbox>
            </v:shape>
          </w:pict>
        </mc:Fallback>
      </mc:AlternateContent>
    </w:r>
  </w:p>
  <w:p>
    <w:pPr>
      <w:pStyle w:val="23"/>
      <w:tabs>
        <w:tab w:val="center" w:pos="4412"/>
        <w:tab w:val="clear" w:pos="4153"/>
        <w:tab w:val="clear" w:pos="8306"/>
      </w:tabs>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right="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GhpgkvTAAAABQEAAA8AAAAAAAAAAQAgAAAAIgAA&#10;AGRycy9kb3ducmV2LnhtbFBLAQIUABQAAAAIAIdO4kC7ezdp1AEAAKYDAAAOAAAAAAAAAAEAIAAA&#10;ACIBAABkcnMvZTJvRG9jLnhtbFBLBQYAAAAABgAGAFkBAABoBQAAAAA=&#10;">
              <v:fill on="f" focussize="0,0"/>
              <v:stroke on="f" weight="1.2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560"/>
      <w:jc w:val="center"/>
    </w:pPr>
    <w:r>
      <w:fldChar w:fldCharType="begin"/>
    </w:r>
    <w:r>
      <w:instrText xml:space="preserve"> PAGE   \* MERGEFORMAT </w:instrText>
    </w:r>
    <w:r>
      <w:fldChar w:fldCharType="separate"/>
    </w:r>
    <w:r>
      <w:rPr>
        <w:lang w:val="zh-CN"/>
      </w:rPr>
      <w:t>26</w:t>
    </w:r>
    <w:r>
      <w:rPr>
        <w:lang w:val="zh-CN"/>
      </w:rPr>
      <w:fldChar w:fldCharType="end"/>
    </w:r>
  </w:p>
  <w:p>
    <w:pPr>
      <w:pStyle w:val="2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r>
      <w:fldChar w:fldCharType="begin"/>
    </w:r>
    <w:r>
      <w:instrText xml:space="preserve"> PAGE   \* MERGEFORMAT </w:instrText>
    </w:r>
    <w:r>
      <w:fldChar w:fldCharType="separate"/>
    </w:r>
    <w:r>
      <w:rPr>
        <w:lang w:val="zh-CN"/>
      </w:rPr>
      <w:t>27</w:t>
    </w:r>
    <w:r>
      <w:rPr>
        <w:lang w:val="zh-CN"/>
      </w:rPr>
      <w:fldChar w:fldCharType="end"/>
    </w:r>
  </w:p>
  <w:p>
    <w:pPr>
      <w:pStyle w:val="23"/>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r>
      <w:fldChar w:fldCharType="begin"/>
    </w:r>
    <w:r>
      <w:instrText xml:space="preserve"> PAGE   \* MERGEFORMAT </w:instrText>
    </w:r>
    <w:r>
      <w:fldChar w:fldCharType="separate"/>
    </w:r>
    <w:r>
      <w:rPr>
        <w:lang w:val="zh-CN"/>
      </w:rPr>
      <w:t>30</w:t>
    </w:r>
    <w:r>
      <w:rPr>
        <w:lang w:val="zh-CN"/>
      </w:rPr>
      <w:fldChar w:fldCharType="end"/>
    </w:r>
  </w:p>
  <w:p>
    <w:pPr>
      <w:pStyle w:val="2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1"/>
      <w:rPr>
        <w:rStyle w:val="43"/>
      </w:rPr>
    </w:pPr>
    <w:r>
      <w:fldChar w:fldCharType="begin"/>
    </w:r>
    <w:r>
      <w:rPr>
        <w:rStyle w:val="43"/>
      </w:rPr>
      <w:instrText xml:space="preserve">PAGE  </w:instrText>
    </w:r>
    <w:r>
      <w:fldChar w:fldCharType="separate"/>
    </w:r>
    <w:r>
      <w:rPr>
        <w:rStyle w:val="43"/>
      </w:rPr>
      <w:t>1</w:t>
    </w:r>
    <w:r>
      <w:fldChar w:fldCharType="end"/>
    </w:r>
  </w:p>
  <w:p>
    <w:pPr>
      <w:pStyle w:val="2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D05B4A"/>
    <w:multiLevelType w:val="singleLevel"/>
    <w:tmpl w:val="20D05B4A"/>
    <w:lvl w:ilvl="0" w:tentative="0">
      <w:start w:val="1"/>
      <w:numFmt w:val="decimal"/>
      <w:suff w:val="nothing"/>
      <w:lvlText w:val="（%1）"/>
      <w:lvlJc w:val="left"/>
    </w:lvl>
  </w:abstractNum>
  <w:abstractNum w:abstractNumId="1">
    <w:nsid w:val="570C6D9D"/>
    <w:multiLevelType w:val="singleLevel"/>
    <w:tmpl w:val="570C6D9D"/>
    <w:lvl w:ilvl="0" w:tentative="0">
      <w:start w:val="1"/>
      <w:numFmt w:val="decimal"/>
      <w:suff w:val="nothing"/>
      <w:lvlText w:val="%1."/>
      <w:lvlJc w:val="left"/>
    </w:lvl>
  </w:abstractNum>
  <w:abstractNum w:abstractNumId="2">
    <w:nsid w:val="5A307D5B"/>
    <w:multiLevelType w:val="singleLevel"/>
    <w:tmpl w:val="5A307D5B"/>
    <w:lvl w:ilvl="0" w:tentative="0">
      <w:start w:val="4"/>
      <w:numFmt w:val="chineseCounting"/>
      <w:suff w:val="nothing"/>
      <w:lvlText w:val="%1、"/>
      <w:lvlJc w:val="left"/>
    </w:lvl>
  </w:abstractNum>
  <w:abstractNum w:abstractNumId="3">
    <w:nsid w:val="6259323F"/>
    <w:multiLevelType w:val="multilevel"/>
    <w:tmpl w:val="6259323F"/>
    <w:lvl w:ilvl="0" w:tentative="0">
      <w:start w:val="1"/>
      <w:numFmt w:val="decimal"/>
      <w:lvlText w:val="%1、"/>
      <w:lvlJc w:val="left"/>
      <w:pPr>
        <w:ind w:left="1050" w:hanging="720"/>
      </w:pPr>
      <w:rPr>
        <w:rFonts w:hint="default"/>
      </w:rPr>
    </w:lvl>
    <w:lvl w:ilvl="1" w:tentative="0">
      <w:start w:val="1"/>
      <w:numFmt w:val="lowerLetter"/>
      <w:lvlText w:val="%2)"/>
      <w:lvlJc w:val="left"/>
      <w:pPr>
        <w:ind w:left="1170" w:hanging="420"/>
      </w:pPr>
    </w:lvl>
    <w:lvl w:ilvl="2" w:tentative="0">
      <w:start w:val="1"/>
      <w:numFmt w:val="lowerRoman"/>
      <w:lvlText w:val="%3."/>
      <w:lvlJc w:val="right"/>
      <w:pPr>
        <w:ind w:left="1590" w:hanging="420"/>
      </w:pPr>
    </w:lvl>
    <w:lvl w:ilvl="3" w:tentative="0">
      <w:start w:val="1"/>
      <w:numFmt w:val="decimal"/>
      <w:lvlText w:val="%4."/>
      <w:lvlJc w:val="left"/>
      <w:pPr>
        <w:ind w:left="2010" w:hanging="420"/>
      </w:pPr>
    </w:lvl>
    <w:lvl w:ilvl="4" w:tentative="0">
      <w:start w:val="1"/>
      <w:numFmt w:val="lowerLetter"/>
      <w:lvlText w:val="%5)"/>
      <w:lvlJc w:val="left"/>
      <w:pPr>
        <w:ind w:left="2430" w:hanging="420"/>
      </w:pPr>
    </w:lvl>
    <w:lvl w:ilvl="5" w:tentative="0">
      <w:start w:val="1"/>
      <w:numFmt w:val="lowerRoman"/>
      <w:lvlText w:val="%6."/>
      <w:lvlJc w:val="right"/>
      <w:pPr>
        <w:ind w:left="2850" w:hanging="420"/>
      </w:pPr>
    </w:lvl>
    <w:lvl w:ilvl="6" w:tentative="0">
      <w:start w:val="1"/>
      <w:numFmt w:val="decimal"/>
      <w:lvlText w:val="%7."/>
      <w:lvlJc w:val="left"/>
      <w:pPr>
        <w:ind w:left="3270" w:hanging="420"/>
      </w:pPr>
    </w:lvl>
    <w:lvl w:ilvl="7" w:tentative="0">
      <w:start w:val="1"/>
      <w:numFmt w:val="lowerLetter"/>
      <w:lvlText w:val="%8)"/>
      <w:lvlJc w:val="left"/>
      <w:pPr>
        <w:ind w:left="3690" w:hanging="420"/>
      </w:pPr>
    </w:lvl>
    <w:lvl w:ilvl="8" w:tentative="0">
      <w:start w:val="1"/>
      <w:numFmt w:val="lowerRoman"/>
      <w:lvlText w:val="%9."/>
      <w:lvlJc w:val="right"/>
      <w:pPr>
        <w:ind w:left="4110" w:hanging="420"/>
      </w:pPr>
    </w:lvl>
  </w:abstractNum>
  <w:abstractNum w:abstractNumId="4">
    <w:nsid w:val="750C23B1"/>
    <w:multiLevelType w:val="singleLevel"/>
    <w:tmpl w:val="750C23B1"/>
    <w:lvl w:ilvl="0" w:tentative="0">
      <w:start w:val="3"/>
      <w:numFmt w:val="chineseCounting"/>
      <w:suff w:val="nothing"/>
      <w:lvlText w:val="%1、"/>
      <w:lvlJc w:val="left"/>
      <w:pPr>
        <w:ind w:left="-140"/>
      </w:pPr>
      <w:rPr>
        <w:rFonts w:hint="eastAsia"/>
        <w:sz w:val="24"/>
        <w:szCs w:val="24"/>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160"/>
    <w:rsid w:val="00006AB0"/>
    <w:rsid w:val="00035D52"/>
    <w:rsid w:val="00046E0C"/>
    <w:rsid w:val="00054D5C"/>
    <w:rsid w:val="000661F3"/>
    <w:rsid w:val="00067AF9"/>
    <w:rsid w:val="00071040"/>
    <w:rsid w:val="0008177B"/>
    <w:rsid w:val="000A1E74"/>
    <w:rsid w:val="000B0233"/>
    <w:rsid w:val="000C12F0"/>
    <w:rsid w:val="000C7F9F"/>
    <w:rsid w:val="000D5D30"/>
    <w:rsid w:val="000F0F38"/>
    <w:rsid w:val="001504BD"/>
    <w:rsid w:val="00166A7A"/>
    <w:rsid w:val="00170C0C"/>
    <w:rsid w:val="00171ECD"/>
    <w:rsid w:val="00187BD2"/>
    <w:rsid w:val="001B2D2B"/>
    <w:rsid w:val="001B3E4C"/>
    <w:rsid w:val="001C6F08"/>
    <w:rsid w:val="00215898"/>
    <w:rsid w:val="00266AE0"/>
    <w:rsid w:val="00271DA8"/>
    <w:rsid w:val="002B5745"/>
    <w:rsid w:val="002D1946"/>
    <w:rsid w:val="002E3FEF"/>
    <w:rsid w:val="002F2772"/>
    <w:rsid w:val="003156C3"/>
    <w:rsid w:val="00336341"/>
    <w:rsid w:val="00337099"/>
    <w:rsid w:val="00340523"/>
    <w:rsid w:val="00340AF3"/>
    <w:rsid w:val="00342CE1"/>
    <w:rsid w:val="003452E1"/>
    <w:rsid w:val="003514B4"/>
    <w:rsid w:val="00352117"/>
    <w:rsid w:val="00360FE0"/>
    <w:rsid w:val="003800EB"/>
    <w:rsid w:val="00390B9C"/>
    <w:rsid w:val="003B00D3"/>
    <w:rsid w:val="003D63AD"/>
    <w:rsid w:val="003E6BAD"/>
    <w:rsid w:val="00402F47"/>
    <w:rsid w:val="00410864"/>
    <w:rsid w:val="00417AC1"/>
    <w:rsid w:val="004260FD"/>
    <w:rsid w:val="004274E4"/>
    <w:rsid w:val="00441148"/>
    <w:rsid w:val="00447328"/>
    <w:rsid w:val="004506FC"/>
    <w:rsid w:val="004652FD"/>
    <w:rsid w:val="00494B76"/>
    <w:rsid w:val="00496CA7"/>
    <w:rsid w:val="004A1342"/>
    <w:rsid w:val="004A13F6"/>
    <w:rsid w:val="004A5D1C"/>
    <w:rsid w:val="004A620F"/>
    <w:rsid w:val="004B6C7C"/>
    <w:rsid w:val="004C5E62"/>
    <w:rsid w:val="004C76B0"/>
    <w:rsid w:val="004D00E4"/>
    <w:rsid w:val="004D3CED"/>
    <w:rsid w:val="004D7FC3"/>
    <w:rsid w:val="004F24B7"/>
    <w:rsid w:val="004F40B9"/>
    <w:rsid w:val="00502DF7"/>
    <w:rsid w:val="00527E73"/>
    <w:rsid w:val="0056553E"/>
    <w:rsid w:val="00592953"/>
    <w:rsid w:val="005B2368"/>
    <w:rsid w:val="005B6EF9"/>
    <w:rsid w:val="005D1569"/>
    <w:rsid w:val="005D57A3"/>
    <w:rsid w:val="005E197A"/>
    <w:rsid w:val="00604145"/>
    <w:rsid w:val="00611E6D"/>
    <w:rsid w:val="00686C68"/>
    <w:rsid w:val="006B1C46"/>
    <w:rsid w:val="006D3054"/>
    <w:rsid w:val="007177A6"/>
    <w:rsid w:val="00724A62"/>
    <w:rsid w:val="00725325"/>
    <w:rsid w:val="00735DB2"/>
    <w:rsid w:val="00747605"/>
    <w:rsid w:val="0075137D"/>
    <w:rsid w:val="007705C5"/>
    <w:rsid w:val="007A0549"/>
    <w:rsid w:val="007A2276"/>
    <w:rsid w:val="007A6922"/>
    <w:rsid w:val="007D6031"/>
    <w:rsid w:val="007F1FC8"/>
    <w:rsid w:val="0080238C"/>
    <w:rsid w:val="008029B1"/>
    <w:rsid w:val="00811376"/>
    <w:rsid w:val="00821098"/>
    <w:rsid w:val="008417FD"/>
    <w:rsid w:val="0086458F"/>
    <w:rsid w:val="0089612C"/>
    <w:rsid w:val="008B2F99"/>
    <w:rsid w:val="008C5B3A"/>
    <w:rsid w:val="008D2F2A"/>
    <w:rsid w:val="008D6718"/>
    <w:rsid w:val="008E16B0"/>
    <w:rsid w:val="008F1A94"/>
    <w:rsid w:val="00925911"/>
    <w:rsid w:val="009310D1"/>
    <w:rsid w:val="009332BA"/>
    <w:rsid w:val="00944C8D"/>
    <w:rsid w:val="00945040"/>
    <w:rsid w:val="00970B6A"/>
    <w:rsid w:val="00987974"/>
    <w:rsid w:val="009B2538"/>
    <w:rsid w:val="009B7DD9"/>
    <w:rsid w:val="009C0909"/>
    <w:rsid w:val="009C1461"/>
    <w:rsid w:val="009C2CF3"/>
    <w:rsid w:val="009C7F39"/>
    <w:rsid w:val="009D1A29"/>
    <w:rsid w:val="009E4F25"/>
    <w:rsid w:val="00A0285C"/>
    <w:rsid w:val="00A05609"/>
    <w:rsid w:val="00A1101B"/>
    <w:rsid w:val="00A3653A"/>
    <w:rsid w:val="00A416BC"/>
    <w:rsid w:val="00A71322"/>
    <w:rsid w:val="00A73E67"/>
    <w:rsid w:val="00A92572"/>
    <w:rsid w:val="00A96736"/>
    <w:rsid w:val="00AB1160"/>
    <w:rsid w:val="00AE6B2B"/>
    <w:rsid w:val="00AF2F42"/>
    <w:rsid w:val="00AF64B2"/>
    <w:rsid w:val="00B3303F"/>
    <w:rsid w:val="00B430AF"/>
    <w:rsid w:val="00B5670A"/>
    <w:rsid w:val="00B65909"/>
    <w:rsid w:val="00B749B9"/>
    <w:rsid w:val="00B772D7"/>
    <w:rsid w:val="00BC38CB"/>
    <w:rsid w:val="00BE3B30"/>
    <w:rsid w:val="00BF4A00"/>
    <w:rsid w:val="00C15789"/>
    <w:rsid w:val="00C43D06"/>
    <w:rsid w:val="00C714CE"/>
    <w:rsid w:val="00C743DE"/>
    <w:rsid w:val="00C91371"/>
    <w:rsid w:val="00C91A9D"/>
    <w:rsid w:val="00C91B7B"/>
    <w:rsid w:val="00CB764D"/>
    <w:rsid w:val="00CB7F82"/>
    <w:rsid w:val="00CE3D55"/>
    <w:rsid w:val="00CF7193"/>
    <w:rsid w:val="00D26E58"/>
    <w:rsid w:val="00D27C24"/>
    <w:rsid w:val="00D33D31"/>
    <w:rsid w:val="00D37382"/>
    <w:rsid w:val="00D4599A"/>
    <w:rsid w:val="00D60445"/>
    <w:rsid w:val="00D72758"/>
    <w:rsid w:val="00D84DBE"/>
    <w:rsid w:val="00DA42DD"/>
    <w:rsid w:val="00DB0D71"/>
    <w:rsid w:val="00DD4395"/>
    <w:rsid w:val="00E011B5"/>
    <w:rsid w:val="00E04E9A"/>
    <w:rsid w:val="00E5357E"/>
    <w:rsid w:val="00E67E47"/>
    <w:rsid w:val="00E70BE2"/>
    <w:rsid w:val="00E72A75"/>
    <w:rsid w:val="00E87CA3"/>
    <w:rsid w:val="00E94B0B"/>
    <w:rsid w:val="00EB056B"/>
    <w:rsid w:val="00EC693A"/>
    <w:rsid w:val="00ED4016"/>
    <w:rsid w:val="00ED7B37"/>
    <w:rsid w:val="00EF6835"/>
    <w:rsid w:val="00F01A94"/>
    <w:rsid w:val="00F36BAD"/>
    <w:rsid w:val="00F422B4"/>
    <w:rsid w:val="00F523C9"/>
    <w:rsid w:val="00F52EAC"/>
    <w:rsid w:val="00F64B34"/>
    <w:rsid w:val="00F665CB"/>
    <w:rsid w:val="00FE1AD4"/>
    <w:rsid w:val="017C6E90"/>
    <w:rsid w:val="02DD3EED"/>
    <w:rsid w:val="04337796"/>
    <w:rsid w:val="044D6099"/>
    <w:rsid w:val="045B1D26"/>
    <w:rsid w:val="04634656"/>
    <w:rsid w:val="048008A2"/>
    <w:rsid w:val="04A53A09"/>
    <w:rsid w:val="04D66D94"/>
    <w:rsid w:val="069C63E1"/>
    <w:rsid w:val="08D436DE"/>
    <w:rsid w:val="09BF198B"/>
    <w:rsid w:val="09F1289C"/>
    <w:rsid w:val="0AAF2F87"/>
    <w:rsid w:val="0B0F7E21"/>
    <w:rsid w:val="0B8323E5"/>
    <w:rsid w:val="0BB77134"/>
    <w:rsid w:val="0BED3545"/>
    <w:rsid w:val="0D8306B7"/>
    <w:rsid w:val="0DCC2C52"/>
    <w:rsid w:val="0F924D9A"/>
    <w:rsid w:val="1454165D"/>
    <w:rsid w:val="14BA400A"/>
    <w:rsid w:val="14F8637A"/>
    <w:rsid w:val="16942E88"/>
    <w:rsid w:val="16DD2978"/>
    <w:rsid w:val="170E7C36"/>
    <w:rsid w:val="17790A92"/>
    <w:rsid w:val="17A34637"/>
    <w:rsid w:val="185F3547"/>
    <w:rsid w:val="186B0C1F"/>
    <w:rsid w:val="19A64DAA"/>
    <w:rsid w:val="1A684A28"/>
    <w:rsid w:val="1ADA0E6A"/>
    <w:rsid w:val="1B043088"/>
    <w:rsid w:val="1B0F461D"/>
    <w:rsid w:val="1B570AC8"/>
    <w:rsid w:val="1C115F0F"/>
    <w:rsid w:val="1E98381A"/>
    <w:rsid w:val="21244A70"/>
    <w:rsid w:val="215E63D2"/>
    <w:rsid w:val="23353217"/>
    <w:rsid w:val="24A3107F"/>
    <w:rsid w:val="25CC419E"/>
    <w:rsid w:val="263D5EF9"/>
    <w:rsid w:val="28ED4BD1"/>
    <w:rsid w:val="28FE029D"/>
    <w:rsid w:val="2B8765C3"/>
    <w:rsid w:val="2DFE098E"/>
    <w:rsid w:val="2E2124F7"/>
    <w:rsid w:val="2E336E29"/>
    <w:rsid w:val="2E5F12BF"/>
    <w:rsid w:val="2EB52486"/>
    <w:rsid w:val="2F804D67"/>
    <w:rsid w:val="2FCB7470"/>
    <w:rsid w:val="302671F4"/>
    <w:rsid w:val="30450EFD"/>
    <w:rsid w:val="30622189"/>
    <w:rsid w:val="31E472E9"/>
    <w:rsid w:val="323A78A4"/>
    <w:rsid w:val="32B07527"/>
    <w:rsid w:val="340936DE"/>
    <w:rsid w:val="344D1AAB"/>
    <w:rsid w:val="36574551"/>
    <w:rsid w:val="36B463CE"/>
    <w:rsid w:val="37BB4E8C"/>
    <w:rsid w:val="395D733B"/>
    <w:rsid w:val="3A3D310F"/>
    <w:rsid w:val="3B0F2A8F"/>
    <w:rsid w:val="3BCE42DA"/>
    <w:rsid w:val="3CCD5621"/>
    <w:rsid w:val="3DAA3DD4"/>
    <w:rsid w:val="3E151FC6"/>
    <w:rsid w:val="40A671FE"/>
    <w:rsid w:val="42E200C1"/>
    <w:rsid w:val="43AB535C"/>
    <w:rsid w:val="45290FE6"/>
    <w:rsid w:val="45D637EE"/>
    <w:rsid w:val="46127486"/>
    <w:rsid w:val="46191B92"/>
    <w:rsid w:val="480962F5"/>
    <w:rsid w:val="488D5213"/>
    <w:rsid w:val="48BA0415"/>
    <w:rsid w:val="48C46F6E"/>
    <w:rsid w:val="4911049B"/>
    <w:rsid w:val="4AA1437A"/>
    <w:rsid w:val="4AF93034"/>
    <w:rsid w:val="4B691F59"/>
    <w:rsid w:val="4C5B7EC7"/>
    <w:rsid w:val="4D2257B6"/>
    <w:rsid w:val="4D5049FD"/>
    <w:rsid w:val="4F6839FF"/>
    <w:rsid w:val="4FB775DB"/>
    <w:rsid w:val="50774969"/>
    <w:rsid w:val="50780479"/>
    <w:rsid w:val="509E1754"/>
    <w:rsid w:val="50BD0A3C"/>
    <w:rsid w:val="512603E5"/>
    <w:rsid w:val="51EA4B2F"/>
    <w:rsid w:val="54523E92"/>
    <w:rsid w:val="54B153B0"/>
    <w:rsid w:val="557B5058"/>
    <w:rsid w:val="55891083"/>
    <w:rsid w:val="565C73E0"/>
    <w:rsid w:val="57A74AAF"/>
    <w:rsid w:val="57BF0326"/>
    <w:rsid w:val="582B721B"/>
    <w:rsid w:val="595624C9"/>
    <w:rsid w:val="59DA50E8"/>
    <w:rsid w:val="5A597D04"/>
    <w:rsid w:val="5AE94F4C"/>
    <w:rsid w:val="5B1A3DD1"/>
    <w:rsid w:val="5B215564"/>
    <w:rsid w:val="5B3A432C"/>
    <w:rsid w:val="5BE52874"/>
    <w:rsid w:val="5F6E61BE"/>
    <w:rsid w:val="60CA73FD"/>
    <w:rsid w:val="625E4301"/>
    <w:rsid w:val="63494556"/>
    <w:rsid w:val="64662C12"/>
    <w:rsid w:val="67D3442A"/>
    <w:rsid w:val="684B6439"/>
    <w:rsid w:val="686478E6"/>
    <w:rsid w:val="689C57C5"/>
    <w:rsid w:val="6A59510D"/>
    <w:rsid w:val="6A825771"/>
    <w:rsid w:val="6BD450AD"/>
    <w:rsid w:val="6E587F8B"/>
    <w:rsid w:val="6E7520B4"/>
    <w:rsid w:val="6ED1589F"/>
    <w:rsid w:val="71565845"/>
    <w:rsid w:val="71F505B8"/>
    <w:rsid w:val="73616F2B"/>
    <w:rsid w:val="7374006C"/>
    <w:rsid w:val="73914AFC"/>
    <w:rsid w:val="73F83376"/>
    <w:rsid w:val="754140E5"/>
    <w:rsid w:val="799E22AF"/>
    <w:rsid w:val="79AE2DA4"/>
    <w:rsid w:val="7A230263"/>
    <w:rsid w:val="7A254631"/>
    <w:rsid w:val="7A6A32EE"/>
    <w:rsid w:val="7B813457"/>
    <w:rsid w:val="7B844513"/>
    <w:rsid w:val="7BF73C45"/>
    <w:rsid w:val="7D3E2E34"/>
    <w:rsid w:val="7FD130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nhideWhenUsed="0" w:uiPriority="0" w:semiHidden="0" w:name="heading 7"/>
    <w:lsdException w:qFormat="1" w:uiPriority="9" w:name="heading 8"/>
    <w:lsdException w:qFormat="1" w:uiPriority="9" w:name="heading 9"/>
    <w:lsdException w:qFormat="1" w:unhideWhenUsed="0" w:uiPriority="0" w:name="index 1"/>
    <w:lsdException w:uiPriority="99" w:name="index 2"/>
    <w:lsdException w:qFormat="1" w:unhideWhenUsed="0" w:uiPriority="0" w:semiHidden="0"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99"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qFormat="1" w:uiPriority="0" w:semiHidden="0" w:name="Normal (Web)"/>
    <w:lsdException w:qFormat="1" w:unhideWhenUsed="0" w:uiPriority="0" w:semiHidden="0"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60"/>
    <w:qFormat/>
    <w:uiPriority w:val="0"/>
    <w:pPr>
      <w:keepNext/>
      <w:outlineLvl w:val="0"/>
    </w:pPr>
    <w:rPr>
      <w:rFonts w:ascii="楷体_GB2312" w:hAnsi="Calibri" w:eastAsia="楷体_GB2312" w:cs="Times New Roman"/>
      <w:sz w:val="28"/>
      <w:szCs w:val="20"/>
    </w:rPr>
  </w:style>
  <w:style w:type="paragraph" w:styleId="4">
    <w:name w:val="heading 2"/>
    <w:basedOn w:val="1"/>
    <w:next w:val="1"/>
    <w:link w:val="61"/>
    <w:qFormat/>
    <w:uiPriority w:val="0"/>
    <w:pPr>
      <w:keepNext/>
      <w:keepLines/>
      <w:spacing w:before="260" w:after="260" w:line="416" w:lineRule="auto"/>
      <w:jc w:val="center"/>
      <w:outlineLvl w:val="1"/>
    </w:pPr>
    <w:rPr>
      <w:rFonts w:ascii="Arial" w:hAnsi="Arial" w:eastAsia="宋体" w:cs="Times New Roman"/>
      <w:b/>
      <w:kern w:val="0"/>
      <w:sz w:val="44"/>
      <w:szCs w:val="20"/>
    </w:rPr>
  </w:style>
  <w:style w:type="paragraph" w:styleId="5">
    <w:name w:val="heading 3"/>
    <w:basedOn w:val="1"/>
    <w:next w:val="1"/>
    <w:link w:val="62"/>
    <w:qFormat/>
    <w:uiPriority w:val="0"/>
    <w:pPr>
      <w:keepNext/>
      <w:keepLines/>
      <w:spacing w:before="260" w:after="260" w:line="416" w:lineRule="auto"/>
      <w:outlineLvl w:val="2"/>
    </w:pPr>
    <w:rPr>
      <w:rFonts w:ascii="Calibri" w:hAnsi="Calibri" w:eastAsia="宋体" w:cs="Times New Roman"/>
      <w:b/>
      <w:sz w:val="32"/>
      <w:szCs w:val="20"/>
    </w:rPr>
  </w:style>
  <w:style w:type="paragraph" w:styleId="6">
    <w:name w:val="heading 4"/>
    <w:basedOn w:val="1"/>
    <w:next w:val="1"/>
    <w:link w:val="63"/>
    <w:qFormat/>
    <w:uiPriority w:val="0"/>
    <w:pPr>
      <w:keepNext/>
      <w:keepLines/>
      <w:spacing w:before="280" w:after="290" w:line="376" w:lineRule="auto"/>
      <w:outlineLvl w:val="3"/>
    </w:pPr>
    <w:rPr>
      <w:rFonts w:ascii="Arial" w:hAnsi="Arial" w:eastAsia="黑体" w:cs="Times New Roman"/>
      <w:b/>
      <w:bCs/>
      <w:sz w:val="28"/>
      <w:szCs w:val="28"/>
    </w:rPr>
  </w:style>
  <w:style w:type="paragraph" w:styleId="7">
    <w:name w:val="heading 5"/>
    <w:basedOn w:val="1"/>
    <w:next w:val="1"/>
    <w:link w:val="64"/>
    <w:qFormat/>
    <w:uiPriority w:val="0"/>
    <w:pPr>
      <w:keepNext/>
      <w:outlineLvl w:val="4"/>
    </w:pPr>
    <w:rPr>
      <w:rFonts w:ascii="宋体" w:hAnsi="宋体" w:eastAsia="宋体" w:cs="Times New Roman"/>
      <w:b/>
      <w:bCs/>
      <w:szCs w:val="24"/>
    </w:rPr>
  </w:style>
  <w:style w:type="paragraph" w:styleId="8">
    <w:name w:val="heading 7"/>
    <w:basedOn w:val="1"/>
    <w:next w:val="1"/>
    <w:link w:val="65"/>
    <w:qFormat/>
    <w:uiPriority w:val="0"/>
    <w:pPr>
      <w:keepNext/>
      <w:keepLines/>
      <w:spacing w:before="240" w:after="64" w:line="319" w:lineRule="auto"/>
      <w:outlineLvl w:val="6"/>
    </w:pPr>
    <w:rPr>
      <w:rFonts w:ascii="Calibri" w:hAnsi="Calibri" w:eastAsia="宋体" w:cs="Times New Roman"/>
      <w:b/>
      <w:sz w:val="24"/>
      <w:szCs w:val="24"/>
    </w:rPr>
  </w:style>
  <w:style w:type="character" w:default="1" w:styleId="41">
    <w:name w:val="Default Paragraph Font"/>
    <w:semiHidden/>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90"/>
    <w:qFormat/>
    <w:uiPriority w:val="0"/>
    <w:rPr>
      <w:rFonts w:ascii="楷体_GB2312" w:hAnsi="Arial" w:eastAsia="楷体_GB2312"/>
      <w:sz w:val="28"/>
    </w:rPr>
  </w:style>
  <w:style w:type="paragraph" w:styleId="9">
    <w:name w:val="toc 7"/>
    <w:basedOn w:val="1"/>
    <w:next w:val="1"/>
    <w:semiHidden/>
    <w:qFormat/>
    <w:uiPriority w:val="0"/>
    <w:pPr>
      <w:ind w:left="2520" w:leftChars="1200"/>
    </w:pPr>
    <w:rPr>
      <w:rFonts w:ascii="Calibri" w:hAnsi="Calibri" w:eastAsia="宋体" w:cs="Times New Roman"/>
      <w:szCs w:val="24"/>
    </w:rPr>
  </w:style>
  <w:style w:type="paragraph" w:styleId="10">
    <w:name w:val="Normal Indent"/>
    <w:basedOn w:val="1"/>
    <w:link w:val="71"/>
    <w:qFormat/>
    <w:uiPriority w:val="0"/>
    <w:pPr>
      <w:ind w:firstLine="420"/>
    </w:pPr>
    <w:rPr>
      <w:rFonts w:eastAsia="宋体"/>
    </w:rPr>
  </w:style>
  <w:style w:type="paragraph" w:styleId="11">
    <w:name w:val="Document Map"/>
    <w:basedOn w:val="1"/>
    <w:link w:val="104"/>
    <w:semiHidden/>
    <w:qFormat/>
    <w:uiPriority w:val="0"/>
    <w:pPr>
      <w:shd w:val="clear" w:color="auto" w:fill="000080"/>
    </w:pPr>
    <w:rPr>
      <w:rFonts w:ascii="Calibri" w:hAnsi="Calibri" w:eastAsia="宋体" w:cs="Times New Roman"/>
      <w:szCs w:val="24"/>
    </w:rPr>
  </w:style>
  <w:style w:type="paragraph" w:styleId="12">
    <w:name w:val="annotation text"/>
    <w:basedOn w:val="1"/>
    <w:link w:val="84"/>
    <w:qFormat/>
    <w:uiPriority w:val="0"/>
    <w:pPr>
      <w:jc w:val="left"/>
    </w:pPr>
    <w:rPr>
      <w:rFonts w:ascii="Calibri" w:hAnsi="Calibri" w:eastAsia="宋体" w:cs="Times New Roman"/>
      <w:szCs w:val="20"/>
    </w:rPr>
  </w:style>
  <w:style w:type="paragraph" w:styleId="13">
    <w:name w:val="Body Text 3"/>
    <w:basedOn w:val="1"/>
    <w:link w:val="94"/>
    <w:qFormat/>
    <w:uiPriority w:val="0"/>
    <w:rPr>
      <w:rFonts w:ascii="仿宋_GB2312" w:hAnsi="Arial" w:eastAsia="仿宋_GB2312" w:cs="Times New Roman"/>
      <w:sz w:val="32"/>
      <w:szCs w:val="20"/>
    </w:rPr>
  </w:style>
  <w:style w:type="paragraph" w:styleId="14">
    <w:name w:val="Body Text Indent"/>
    <w:basedOn w:val="1"/>
    <w:link w:val="86"/>
    <w:qFormat/>
    <w:uiPriority w:val="0"/>
    <w:pPr>
      <w:ind w:firstLine="645"/>
    </w:pPr>
  </w:style>
  <w:style w:type="paragraph" w:styleId="15">
    <w:name w:val="toc 5"/>
    <w:basedOn w:val="1"/>
    <w:next w:val="1"/>
    <w:semiHidden/>
    <w:qFormat/>
    <w:uiPriority w:val="0"/>
    <w:pPr>
      <w:ind w:left="1680" w:leftChars="800"/>
    </w:pPr>
    <w:rPr>
      <w:rFonts w:ascii="Calibri" w:hAnsi="Calibri" w:eastAsia="宋体" w:cs="Times New Roman"/>
      <w:szCs w:val="24"/>
    </w:rPr>
  </w:style>
  <w:style w:type="paragraph" w:styleId="16">
    <w:name w:val="toc 3"/>
    <w:basedOn w:val="1"/>
    <w:next w:val="1"/>
    <w:qFormat/>
    <w:uiPriority w:val="39"/>
    <w:pPr>
      <w:tabs>
        <w:tab w:val="right" w:leader="dot" w:pos="9440"/>
      </w:tabs>
      <w:spacing w:line="240" w:lineRule="exact"/>
      <w:ind w:left="539"/>
      <w:jc w:val="left"/>
    </w:pPr>
    <w:rPr>
      <w:rFonts w:ascii="黑体" w:hAnsi="宋体" w:eastAsia="黑体" w:cs="Times New Roman"/>
      <w:bCs/>
      <w:iCs/>
      <w:sz w:val="18"/>
      <w:szCs w:val="32"/>
    </w:rPr>
  </w:style>
  <w:style w:type="paragraph" w:styleId="17">
    <w:name w:val="Plain Text"/>
    <w:basedOn w:val="1"/>
    <w:link w:val="103"/>
    <w:qFormat/>
    <w:uiPriority w:val="0"/>
    <w:rPr>
      <w:rFonts w:hint="eastAsia" w:ascii="宋体" w:hAnsi="Courier New" w:eastAsia="宋体" w:cs="Times New Roman"/>
      <w:szCs w:val="20"/>
    </w:rPr>
  </w:style>
  <w:style w:type="paragraph" w:styleId="18">
    <w:name w:val="toc 8"/>
    <w:basedOn w:val="1"/>
    <w:next w:val="1"/>
    <w:semiHidden/>
    <w:qFormat/>
    <w:uiPriority w:val="0"/>
    <w:pPr>
      <w:ind w:left="2940" w:leftChars="1400"/>
    </w:pPr>
    <w:rPr>
      <w:rFonts w:ascii="Calibri" w:hAnsi="Calibri" w:eastAsia="宋体" w:cs="Times New Roman"/>
      <w:szCs w:val="24"/>
    </w:rPr>
  </w:style>
  <w:style w:type="paragraph" w:styleId="19">
    <w:name w:val="index 3"/>
    <w:basedOn w:val="1"/>
    <w:next w:val="1"/>
    <w:qFormat/>
    <w:uiPriority w:val="0"/>
    <w:pPr>
      <w:ind w:left="400" w:leftChars="400"/>
    </w:pPr>
  </w:style>
  <w:style w:type="paragraph" w:styleId="20">
    <w:name w:val="Date"/>
    <w:basedOn w:val="1"/>
    <w:next w:val="1"/>
    <w:link w:val="91"/>
    <w:qFormat/>
    <w:uiPriority w:val="0"/>
    <w:rPr>
      <w:rFonts w:ascii="Calibri" w:hAnsi="Calibri" w:eastAsia="宋体" w:cs="Times New Roman"/>
      <w:sz w:val="24"/>
      <w:szCs w:val="20"/>
    </w:rPr>
  </w:style>
  <w:style w:type="paragraph" w:styleId="21">
    <w:name w:val="Body Text Indent 2"/>
    <w:basedOn w:val="1"/>
    <w:link w:val="82"/>
    <w:qFormat/>
    <w:uiPriority w:val="0"/>
    <w:pPr>
      <w:ind w:firstLine="560" w:firstLineChars="200"/>
    </w:pPr>
    <w:rPr>
      <w:rFonts w:ascii="宋体" w:hAnsi="宋体" w:eastAsia="宋体" w:cs="Times New Roman"/>
      <w:sz w:val="28"/>
      <w:szCs w:val="24"/>
    </w:rPr>
  </w:style>
  <w:style w:type="paragraph" w:styleId="22">
    <w:name w:val="Balloon Text"/>
    <w:basedOn w:val="1"/>
    <w:link w:val="89"/>
    <w:semiHidden/>
    <w:qFormat/>
    <w:uiPriority w:val="0"/>
    <w:rPr>
      <w:rFonts w:ascii="Calibri" w:hAnsi="Calibri" w:eastAsia="宋体" w:cs="Times New Roman"/>
      <w:sz w:val="18"/>
      <w:szCs w:val="18"/>
    </w:rPr>
  </w:style>
  <w:style w:type="paragraph" w:styleId="23">
    <w:name w:val="footer"/>
    <w:basedOn w:val="1"/>
    <w:link w:val="59"/>
    <w:unhideWhenUsed/>
    <w:qFormat/>
    <w:uiPriority w:val="99"/>
    <w:pPr>
      <w:tabs>
        <w:tab w:val="center" w:pos="4153"/>
        <w:tab w:val="right" w:pos="8306"/>
      </w:tabs>
      <w:snapToGrid w:val="0"/>
      <w:jc w:val="left"/>
    </w:pPr>
    <w:rPr>
      <w:sz w:val="18"/>
      <w:szCs w:val="18"/>
    </w:rPr>
  </w:style>
  <w:style w:type="paragraph" w:styleId="24">
    <w:name w:val="envelope return"/>
    <w:basedOn w:val="1"/>
    <w:qFormat/>
    <w:uiPriority w:val="99"/>
    <w:pPr>
      <w:snapToGrid w:val="0"/>
    </w:pPr>
    <w:rPr>
      <w:rFonts w:ascii="Arial" w:hAnsi="Arial" w:eastAsia="宋体" w:cs="Times New Roman"/>
      <w:szCs w:val="24"/>
    </w:rPr>
  </w:style>
  <w:style w:type="paragraph" w:styleId="25">
    <w:name w:val="header"/>
    <w:basedOn w:val="1"/>
    <w:link w:val="58"/>
    <w:unhideWhenUsed/>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semiHidden/>
    <w:qFormat/>
    <w:uiPriority w:val="0"/>
    <w:pPr>
      <w:tabs>
        <w:tab w:val="right" w:leader="dot" w:pos="9440"/>
      </w:tabs>
      <w:spacing w:before="120" w:after="120" w:line="300" w:lineRule="exact"/>
      <w:jc w:val="left"/>
    </w:pPr>
    <w:rPr>
      <w:rFonts w:ascii="黑体" w:hAnsi="Calibri" w:eastAsia="黑体" w:cs="Times New Roman"/>
      <w:b/>
      <w:caps/>
      <w:sz w:val="18"/>
      <w:szCs w:val="28"/>
    </w:rPr>
  </w:style>
  <w:style w:type="paragraph" w:styleId="27">
    <w:name w:val="toc 4"/>
    <w:basedOn w:val="1"/>
    <w:next w:val="1"/>
    <w:qFormat/>
    <w:uiPriority w:val="39"/>
    <w:pPr>
      <w:ind w:left="1260" w:leftChars="600"/>
    </w:pPr>
    <w:rPr>
      <w:rFonts w:ascii="Calibri" w:hAnsi="Calibri" w:eastAsia="宋体" w:cs="Times New Roman"/>
      <w:szCs w:val="24"/>
    </w:rPr>
  </w:style>
  <w:style w:type="paragraph" w:styleId="28">
    <w:name w:val="toc 6"/>
    <w:basedOn w:val="1"/>
    <w:next w:val="1"/>
    <w:semiHidden/>
    <w:qFormat/>
    <w:uiPriority w:val="0"/>
    <w:pPr>
      <w:ind w:left="2100" w:leftChars="1000"/>
    </w:pPr>
    <w:rPr>
      <w:rFonts w:ascii="Calibri" w:hAnsi="Calibri" w:eastAsia="宋体" w:cs="Times New Roman"/>
      <w:szCs w:val="24"/>
    </w:rPr>
  </w:style>
  <w:style w:type="paragraph" w:styleId="29">
    <w:name w:val="Body Text Indent 3"/>
    <w:basedOn w:val="1"/>
    <w:link w:val="107"/>
    <w:qFormat/>
    <w:uiPriority w:val="0"/>
    <w:pPr>
      <w:ind w:firstLine="523"/>
    </w:pPr>
    <w:rPr>
      <w:rFonts w:ascii="仿宋_GB2312" w:hAnsi="宋体" w:eastAsia="仿宋_GB2312" w:cs="Times New Roman"/>
      <w:sz w:val="24"/>
      <w:szCs w:val="24"/>
    </w:rPr>
  </w:style>
  <w:style w:type="paragraph" w:styleId="30">
    <w:name w:val="toc 2"/>
    <w:basedOn w:val="1"/>
    <w:next w:val="1"/>
    <w:qFormat/>
    <w:uiPriority w:val="39"/>
    <w:pPr>
      <w:tabs>
        <w:tab w:val="left" w:pos="1260"/>
        <w:tab w:val="right" w:leader="dot" w:pos="9440"/>
      </w:tabs>
      <w:spacing w:line="260" w:lineRule="exact"/>
      <w:jc w:val="left"/>
    </w:pPr>
    <w:rPr>
      <w:rFonts w:ascii="黑体" w:hAnsi="Calibri" w:eastAsia="黑体" w:cs="Times New Roman"/>
      <w:b/>
      <w:bCs/>
      <w:smallCaps/>
      <w:sz w:val="18"/>
      <w:szCs w:val="44"/>
    </w:rPr>
  </w:style>
  <w:style w:type="paragraph" w:styleId="31">
    <w:name w:val="toc 9"/>
    <w:basedOn w:val="1"/>
    <w:next w:val="1"/>
    <w:semiHidden/>
    <w:qFormat/>
    <w:uiPriority w:val="0"/>
    <w:pPr>
      <w:ind w:left="3360" w:leftChars="1600"/>
    </w:pPr>
    <w:rPr>
      <w:rFonts w:ascii="Calibri" w:hAnsi="Calibri" w:eastAsia="宋体" w:cs="Times New Roman"/>
      <w:szCs w:val="24"/>
    </w:rPr>
  </w:style>
  <w:style w:type="paragraph" w:styleId="32">
    <w:name w:val="Body Text 2"/>
    <w:basedOn w:val="1"/>
    <w:link w:val="85"/>
    <w:qFormat/>
    <w:uiPriority w:val="0"/>
    <w:pPr>
      <w:jc w:val="center"/>
    </w:pPr>
    <w:rPr>
      <w:rFonts w:ascii="仿宋_GB2312" w:hAnsi="Calibri" w:eastAsia="仿宋_GB2312" w:cs="Times New Roman"/>
      <w:sz w:val="44"/>
      <w:szCs w:val="24"/>
    </w:rPr>
  </w:style>
  <w:style w:type="paragraph" w:styleId="33">
    <w:name w:val="HTML Preformatted"/>
    <w:basedOn w:val="1"/>
    <w:link w:val="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34">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35">
    <w:name w:val="index 1"/>
    <w:basedOn w:val="1"/>
    <w:next w:val="1"/>
    <w:semiHidden/>
    <w:qFormat/>
    <w:uiPriority w:val="0"/>
    <w:rPr>
      <w:rFonts w:ascii="宋体" w:hAnsi="宋体" w:eastAsia="宋体" w:cs="Times New Roman"/>
      <w:szCs w:val="18"/>
    </w:rPr>
  </w:style>
  <w:style w:type="paragraph" w:styleId="36">
    <w:name w:val="Title"/>
    <w:basedOn w:val="1"/>
    <w:next w:val="1"/>
    <w:link w:val="81"/>
    <w:qFormat/>
    <w:uiPriority w:val="0"/>
    <w:pPr>
      <w:spacing w:before="240" w:after="60"/>
      <w:jc w:val="center"/>
      <w:outlineLvl w:val="0"/>
    </w:pPr>
    <w:rPr>
      <w:rFonts w:ascii="Cambria" w:hAnsi="Cambria" w:cs="Times New Roman"/>
      <w:b/>
      <w:bCs/>
      <w:sz w:val="32"/>
      <w:szCs w:val="32"/>
    </w:rPr>
  </w:style>
  <w:style w:type="paragraph" w:styleId="37">
    <w:name w:val="annotation subject"/>
    <w:basedOn w:val="12"/>
    <w:next w:val="12"/>
    <w:link w:val="93"/>
    <w:qFormat/>
    <w:uiPriority w:val="99"/>
    <w:rPr>
      <w:rFonts w:asciiTheme="minorHAnsi" w:hAnsiTheme="minorHAnsi" w:eastAsiaTheme="minorEastAsia" w:cstheme="minorBidi"/>
      <w:b/>
      <w:bCs/>
      <w:szCs w:val="24"/>
    </w:rPr>
  </w:style>
  <w:style w:type="paragraph" w:styleId="38">
    <w:name w:val="Body Text First Indent 2"/>
    <w:basedOn w:val="14"/>
    <w:link w:val="97"/>
    <w:qFormat/>
    <w:uiPriority w:val="0"/>
    <w:pPr>
      <w:spacing w:line="360" w:lineRule="auto"/>
    </w:pPr>
    <w:rPr>
      <w:kern w:val="0"/>
      <w:sz w:val="20"/>
      <w:szCs w:val="20"/>
    </w:rPr>
  </w:style>
  <w:style w:type="table" w:styleId="40">
    <w:name w:val="Table Grid"/>
    <w:basedOn w:val="3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2">
    <w:name w:val="Strong"/>
    <w:qFormat/>
    <w:uiPriority w:val="0"/>
    <w:rPr>
      <w:b/>
      <w:bCs/>
    </w:rPr>
  </w:style>
  <w:style w:type="character" w:styleId="43">
    <w:name w:val="page number"/>
    <w:basedOn w:val="41"/>
    <w:qFormat/>
    <w:uiPriority w:val="0"/>
  </w:style>
  <w:style w:type="character" w:styleId="44">
    <w:name w:val="FollowedHyperlink"/>
    <w:qFormat/>
    <w:uiPriority w:val="0"/>
    <w:rPr>
      <w:color w:val="800080"/>
      <w:u w:val="none"/>
    </w:rPr>
  </w:style>
  <w:style w:type="character" w:styleId="45">
    <w:name w:val="Emphasis"/>
    <w:qFormat/>
    <w:uiPriority w:val="0"/>
  </w:style>
  <w:style w:type="character" w:styleId="46">
    <w:name w:val="HTML Definition"/>
    <w:qFormat/>
    <w:uiPriority w:val="0"/>
  </w:style>
  <w:style w:type="character" w:styleId="47">
    <w:name w:val="HTML Typewriter"/>
    <w:qFormat/>
    <w:uiPriority w:val="0"/>
    <w:rPr>
      <w:rFonts w:hint="default" w:ascii="monospace" w:hAnsi="monospace" w:eastAsia="monospace" w:cs="monospace"/>
      <w:sz w:val="20"/>
    </w:rPr>
  </w:style>
  <w:style w:type="character" w:styleId="48">
    <w:name w:val="HTML Acronym"/>
    <w:basedOn w:val="41"/>
    <w:qFormat/>
    <w:uiPriority w:val="0"/>
  </w:style>
  <w:style w:type="character" w:styleId="49">
    <w:name w:val="HTML Variable"/>
    <w:qFormat/>
    <w:uiPriority w:val="0"/>
  </w:style>
  <w:style w:type="character" w:styleId="50">
    <w:name w:val="Hyperlink"/>
    <w:basedOn w:val="41"/>
    <w:qFormat/>
    <w:uiPriority w:val="99"/>
    <w:rPr>
      <w:color w:val="0000FF"/>
      <w:u w:val="none"/>
    </w:rPr>
  </w:style>
  <w:style w:type="character" w:styleId="51">
    <w:name w:val="HTML Code"/>
    <w:qFormat/>
    <w:uiPriority w:val="0"/>
    <w:rPr>
      <w:rFonts w:ascii="monospace" w:hAnsi="monospace" w:eastAsia="monospace" w:cs="monospace"/>
      <w:sz w:val="20"/>
    </w:rPr>
  </w:style>
  <w:style w:type="character" w:styleId="52">
    <w:name w:val="annotation reference"/>
    <w:qFormat/>
    <w:uiPriority w:val="0"/>
    <w:rPr>
      <w:sz w:val="21"/>
      <w:szCs w:val="21"/>
    </w:rPr>
  </w:style>
  <w:style w:type="character" w:styleId="53">
    <w:name w:val="HTML Cite"/>
    <w:qFormat/>
    <w:uiPriority w:val="0"/>
  </w:style>
  <w:style w:type="character" w:styleId="54">
    <w:name w:val="HTML Keyboard"/>
    <w:qFormat/>
    <w:uiPriority w:val="0"/>
    <w:rPr>
      <w:rFonts w:hint="default" w:ascii="monospace" w:hAnsi="monospace" w:eastAsia="monospace" w:cs="monospace"/>
      <w:sz w:val="20"/>
    </w:rPr>
  </w:style>
  <w:style w:type="character" w:styleId="55">
    <w:name w:val="HTML Sample"/>
    <w:qFormat/>
    <w:uiPriority w:val="0"/>
    <w:rPr>
      <w:rFonts w:hint="default" w:ascii="monospace" w:hAnsi="monospace" w:eastAsia="monospace" w:cs="monospace"/>
    </w:rPr>
  </w:style>
  <w:style w:type="paragraph" w:customStyle="1" w:styleId="56">
    <w:name w:val="段"/>
    <w:next w:val="1"/>
    <w:qFormat/>
    <w:uiPriority w:val="0"/>
    <w:pPr>
      <w:widowControl w:val="0"/>
      <w:ind w:firstLine="200"/>
      <w:jc w:val="both"/>
    </w:pPr>
    <w:rPr>
      <w:rFonts w:ascii="宋体" w:hAnsi="宋体" w:eastAsia="宋体" w:cs="宋体"/>
      <w:color w:val="000000"/>
      <w:sz w:val="21"/>
      <w:szCs w:val="21"/>
      <w:lang w:val="en-US" w:eastAsia="zh-CN" w:bidi="ar-SA"/>
    </w:rPr>
  </w:style>
  <w:style w:type="paragraph" w:customStyle="1" w:styleId="57">
    <w:name w:val="正文1"/>
    <w:basedOn w:val="1"/>
    <w:qFormat/>
    <w:uiPriority w:val="0"/>
    <w:pPr>
      <w:spacing w:line="360" w:lineRule="auto"/>
      <w:ind w:firstLine="361"/>
    </w:pPr>
    <w:rPr>
      <w:rFonts w:ascii="宋体" w:hAnsi="宋体" w:eastAsia="宋体" w:cs="Times New Roman"/>
      <w:szCs w:val="24"/>
    </w:rPr>
  </w:style>
  <w:style w:type="character" w:customStyle="1" w:styleId="58">
    <w:name w:val="页眉 Char"/>
    <w:basedOn w:val="41"/>
    <w:link w:val="25"/>
    <w:semiHidden/>
    <w:qFormat/>
    <w:uiPriority w:val="99"/>
    <w:rPr>
      <w:sz w:val="18"/>
      <w:szCs w:val="18"/>
    </w:rPr>
  </w:style>
  <w:style w:type="character" w:customStyle="1" w:styleId="59">
    <w:name w:val="页脚 Char"/>
    <w:basedOn w:val="41"/>
    <w:link w:val="23"/>
    <w:qFormat/>
    <w:uiPriority w:val="99"/>
    <w:rPr>
      <w:sz w:val="18"/>
      <w:szCs w:val="18"/>
    </w:rPr>
  </w:style>
  <w:style w:type="character" w:customStyle="1" w:styleId="60">
    <w:name w:val="标题 1 Char"/>
    <w:basedOn w:val="41"/>
    <w:link w:val="3"/>
    <w:qFormat/>
    <w:uiPriority w:val="0"/>
    <w:rPr>
      <w:rFonts w:ascii="楷体_GB2312" w:hAnsi="Calibri" w:eastAsia="楷体_GB2312" w:cs="Times New Roman"/>
      <w:sz w:val="28"/>
      <w:szCs w:val="20"/>
    </w:rPr>
  </w:style>
  <w:style w:type="character" w:customStyle="1" w:styleId="61">
    <w:name w:val="标题 2 Char"/>
    <w:basedOn w:val="41"/>
    <w:link w:val="4"/>
    <w:qFormat/>
    <w:uiPriority w:val="0"/>
    <w:rPr>
      <w:rFonts w:ascii="Arial" w:hAnsi="Arial" w:eastAsia="宋体" w:cs="Times New Roman"/>
      <w:b/>
      <w:kern w:val="0"/>
      <w:sz w:val="44"/>
      <w:szCs w:val="20"/>
    </w:rPr>
  </w:style>
  <w:style w:type="character" w:customStyle="1" w:styleId="62">
    <w:name w:val="标题 3 Char"/>
    <w:basedOn w:val="41"/>
    <w:link w:val="5"/>
    <w:qFormat/>
    <w:uiPriority w:val="0"/>
    <w:rPr>
      <w:rFonts w:ascii="Calibri" w:hAnsi="Calibri" w:eastAsia="宋体" w:cs="Times New Roman"/>
      <w:b/>
      <w:sz w:val="32"/>
      <w:szCs w:val="20"/>
    </w:rPr>
  </w:style>
  <w:style w:type="character" w:customStyle="1" w:styleId="63">
    <w:name w:val="标题 4 Char"/>
    <w:basedOn w:val="41"/>
    <w:link w:val="6"/>
    <w:qFormat/>
    <w:uiPriority w:val="0"/>
    <w:rPr>
      <w:rFonts w:ascii="Arial" w:hAnsi="Arial" w:eastAsia="黑体" w:cs="Times New Roman"/>
      <w:b/>
      <w:bCs/>
      <w:sz w:val="28"/>
      <w:szCs w:val="28"/>
    </w:rPr>
  </w:style>
  <w:style w:type="character" w:customStyle="1" w:styleId="64">
    <w:name w:val="标题 5 Char"/>
    <w:basedOn w:val="41"/>
    <w:link w:val="7"/>
    <w:qFormat/>
    <w:uiPriority w:val="0"/>
    <w:rPr>
      <w:rFonts w:ascii="宋体" w:hAnsi="宋体" w:eastAsia="宋体" w:cs="Times New Roman"/>
      <w:b/>
      <w:bCs/>
      <w:szCs w:val="24"/>
    </w:rPr>
  </w:style>
  <w:style w:type="character" w:customStyle="1" w:styleId="65">
    <w:name w:val="标题 7 Char"/>
    <w:basedOn w:val="41"/>
    <w:link w:val="8"/>
    <w:qFormat/>
    <w:uiPriority w:val="0"/>
    <w:rPr>
      <w:rFonts w:ascii="Calibri" w:hAnsi="Calibri" w:eastAsia="宋体" w:cs="Times New Roman"/>
      <w:b/>
      <w:sz w:val="24"/>
      <w:szCs w:val="24"/>
    </w:rPr>
  </w:style>
  <w:style w:type="character" w:customStyle="1" w:styleId="66">
    <w:name w:val="font91"/>
    <w:qFormat/>
    <w:uiPriority w:val="0"/>
    <w:rPr>
      <w:rFonts w:hint="default" w:ascii="Times New Roman" w:hAnsi="Times New Roman" w:cs="Times New Roman"/>
      <w:color w:val="000000"/>
      <w:sz w:val="18"/>
      <w:szCs w:val="18"/>
      <w:u w:val="none"/>
    </w:rPr>
  </w:style>
  <w:style w:type="character" w:customStyle="1" w:styleId="67">
    <w:name w:val="阴影"/>
    <w:qFormat/>
    <w:uiPriority w:val="0"/>
    <w:rPr>
      <w:color w:val="0000FF"/>
      <w:shd w:val="pct10" w:color="auto" w:fill="auto"/>
      <w14:shadow w14:blurRad="50800" w14:dist="38100" w14:dir="2700000" w14:sx="100000" w14:sy="100000" w14:kx="0" w14:ky="0" w14:algn="tl">
        <w14:srgbClr w14:val="000000">
          <w14:alpha w14:val="60000"/>
        </w14:srgbClr>
      </w14:shadow>
    </w:rPr>
  </w:style>
  <w:style w:type="character" w:customStyle="1" w:styleId="68">
    <w:name w:val="标题2 Char"/>
    <w:qFormat/>
    <w:uiPriority w:val="0"/>
    <w:rPr>
      <w:rFonts w:ascii="方正楷体_GBK" w:hAnsi="Book Antiqua" w:eastAsia="方正楷体_GBK"/>
      <w:snapToGrid w:val="0"/>
      <w:sz w:val="32"/>
      <w:lang w:val="en-US" w:eastAsia="zh-CN" w:bidi="ar-SA"/>
    </w:rPr>
  </w:style>
  <w:style w:type="character" w:customStyle="1" w:styleId="69">
    <w:name w:val="正文文本缩进 Char"/>
    <w:link w:val="14"/>
    <w:qFormat/>
    <w:uiPriority w:val="0"/>
  </w:style>
  <w:style w:type="character" w:customStyle="1" w:styleId="70">
    <w:name w:val="jj1"/>
    <w:qFormat/>
    <w:uiPriority w:val="0"/>
    <w:rPr>
      <w:sz w:val="20"/>
      <w:szCs w:val="20"/>
      <w:u w:val="none"/>
    </w:rPr>
  </w:style>
  <w:style w:type="character" w:customStyle="1" w:styleId="71">
    <w:name w:val="正文缩进 Char"/>
    <w:link w:val="10"/>
    <w:qFormat/>
    <w:uiPriority w:val="0"/>
    <w:rPr>
      <w:rFonts w:eastAsia="宋体"/>
    </w:rPr>
  </w:style>
  <w:style w:type="character" w:customStyle="1" w:styleId="72">
    <w:name w:val="正文缩进2格 Char"/>
    <w:link w:val="73"/>
    <w:qFormat/>
    <w:locked/>
    <w:uiPriority w:val="0"/>
    <w:rPr>
      <w:rFonts w:ascii="仿宋_GB2312" w:hAnsi="宋体" w:eastAsia="仿宋_GB2312"/>
      <w:sz w:val="31"/>
      <w:szCs w:val="28"/>
    </w:rPr>
  </w:style>
  <w:style w:type="paragraph" w:customStyle="1" w:styleId="73">
    <w:name w:val="正文缩进2格"/>
    <w:basedOn w:val="1"/>
    <w:link w:val="72"/>
    <w:qFormat/>
    <w:uiPriority w:val="0"/>
    <w:pPr>
      <w:spacing w:line="600" w:lineRule="exact"/>
      <w:ind w:firstLine="639" w:firstLineChars="206"/>
    </w:pPr>
    <w:rPr>
      <w:rFonts w:ascii="仿宋_GB2312" w:hAnsi="宋体" w:eastAsia="仿宋_GB2312"/>
      <w:sz w:val="31"/>
      <w:szCs w:val="28"/>
    </w:rPr>
  </w:style>
  <w:style w:type="character" w:customStyle="1" w:styleId="74">
    <w:name w:val="无间隔 Char"/>
    <w:link w:val="75"/>
    <w:qFormat/>
    <w:uiPriority w:val="1"/>
    <w:rPr>
      <w:szCs w:val="24"/>
    </w:rPr>
  </w:style>
  <w:style w:type="paragraph" w:styleId="75">
    <w:name w:val="No Spacing"/>
    <w:link w:val="74"/>
    <w:qFormat/>
    <w:uiPriority w:val="1"/>
    <w:pPr>
      <w:widowControl w:val="0"/>
      <w:jc w:val="both"/>
    </w:pPr>
    <w:rPr>
      <w:rFonts w:asciiTheme="minorHAnsi" w:hAnsiTheme="minorHAnsi" w:eastAsiaTheme="minorEastAsia" w:cstheme="minorBidi"/>
      <w:kern w:val="2"/>
      <w:sz w:val="21"/>
      <w:szCs w:val="24"/>
      <w:lang w:val="en-US" w:eastAsia="zh-CN" w:bidi="ar-SA"/>
    </w:rPr>
  </w:style>
  <w:style w:type="character" w:customStyle="1" w:styleId="76">
    <w:name w:val="font01"/>
    <w:qFormat/>
    <w:uiPriority w:val="0"/>
    <w:rPr>
      <w:rFonts w:hint="eastAsia" w:ascii="宋体" w:hAnsi="宋体" w:eastAsia="宋体" w:cs="宋体"/>
      <w:color w:val="000000"/>
      <w:sz w:val="18"/>
      <w:szCs w:val="18"/>
      <w:u w:val="none"/>
    </w:rPr>
  </w:style>
  <w:style w:type="character" w:customStyle="1" w:styleId="77">
    <w:name w:val="font51"/>
    <w:qFormat/>
    <w:uiPriority w:val="0"/>
    <w:rPr>
      <w:rFonts w:hint="eastAsia" w:ascii="微软雅黑" w:hAnsi="微软雅黑" w:eastAsia="微软雅黑" w:cs="微软雅黑"/>
      <w:color w:val="000000"/>
      <w:sz w:val="18"/>
      <w:szCs w:val="18"/>
      <w:u w:val="none"/>
    </w:rPr>
  </w:style>
  <w:style w:type="character" w:customStyle="1" w:styleId="78">
    <w:name w:val="标题 Char"/>
    <w:link w:val="36"/>
    <w:qFormat/>
    <w:uiPriority w:val="0"/>
    <w:rPr>
      <w:rFonts w:ascii="Cambria" w:hAnsi="Cambria" w:cs="Times New Roman"/>
      <w:b/>
      <w:bCs/>
      <w:sz w:val="32"/>
      <w:szCs w:val="32"/>
    </w:rPr>
  </w:style>
  <w:style w:type="character" w:customStyle="1" w:styleId="79">
    <w:name w:val="正文文本 Char"/>
    <w:basedOn w:val="41"/>
    <w:link w:val="2"/>
    <w:qFormat/>
    <w:uiPriority w:val="0"/>
    <w:rPr>
      <w:rFonts w:ascii="楷体_GB2312" w:hAnsi="Arial" w:eastAsia="楷体_GB2312"/>
      <w:sz w:val="28"/>
    </w:rPr>
  </w:style>
  <w:style w:type="character" w:customStyle="1" w:styleId="80">
    <w:name w:val="批注主题 Char"/>
    <w:link w:val="37"/>
    <w:qFormat/>
    <w:uiPriority w:val="99"/>
    <w:rPr>
      <w:b/>
      <w:bCs/>
      <w:szCs w:val="24"/>
    </w:rPr>
  </w:style>
  <w:style w:type="character" w:customStyle="1" w:styleId="81">
    <w:name w:val="标题 Char1"/>
    <w:basedOn w:val="41"/>
    <w:link w:val="36"/>
    <w:qFormat/>
    <w:uiPriority w:val="10"/>
    <w:rPr>
      <w:rFonts w:eastAsia="宋体" w:asciiTheme="majorHAnsi" w:hAnsiTheme="majorHAnsi" w:cstheme="majorBidi"/>
      <w:b/>
      <w:bCs/>
      <w:sz w:val="32"/>
      <w:szCs w:val="32"/>
    </w:rPr>
  </w:style>
  <w:style w:type="character" w:customStyle="1" w:styleId="82">
    <w:name w:val="正文文本缩进 2 Char"/>
    <w:basedOn w:val="41"/>
    <w:link w:val="21"/>
    <w:qFormat/>
    <w:uiPriority w:val="0"/>
    <w:rPr>
      <w:rFonts w:ascii="宋体" w:hAnsi="宋体" w:eastAsia="宋体" w:cs="Times New Roman"/>
      <w:sz w:val="28"/>
      <w:szCs w:val="24"/>
    </w:rPr>
  </w:style>
  <w:style w:type="paragraph" w:styleId="83">
    <w:name w:val="List Paragraph"/>
    <w:basedOn w:val="1"/>
    <w:qFormat/>
    <w:uiPriority w:val="34"/>
    <w:pPr>
      <w:ind w:firstLine="420" w:firstLineChars="200"/>
    </w:pPr>
    <w:rPr>
      <w:rFonts w:ascii="Calibri" w:hAnsi="Calibri" w:eastAsia="宋体" w:cs="Times New Roman"/>
    </w:rPr>
  </w:style>
  <w:style w:type="character" w:customStyle="1" w:styleId="84">
    <w:name w:val="批注文字 Char"/>
    <w:basedOn w:val="41"/>
    <w:link w:val="12"/>
    <w:qFormat/>
    <w:uiPriority w:val="0"/>
    <w:rPr>
      <w:rFonts w:ascii="Calibri" w:hAnsi="Calibri" w:eastAsia="宋体" w:cs="Times New Roman"/>
      <w:szCs w:val="20"/>
    </w:rPr>
  </w:style>
  <w:style w:type="character" w:customStyle="1" w:styleId="85">
    <w:name w:val="正文文本 2 Char"/>
    <w:basedOn w:val="41"/>
    <w:link w:val="32"/>
    <w:qFormat/>
    <w:uiPriority w:val="0"/>
    <w:rPr>
      <w:rFonts w:ascii="仿宋_GB2312" w:hAnsi="Calibri" w:eastAsia="仿宋_GB2312" w:cs="Times New Roman"/>
      <w:sz w:val="44"/>
      <w:szCs w:val="24"/>
    </w:rPr>
  </w:style>
  <w:style w:type="character" w:customStyle="1" w:styleId="86">
    <w:name w:val="正文文本缩进 Char1"/>
    <w:basedOn w:val="41"/>
    <w:link w:val="14"/>
    <w:semiHidden/>
    <w:qFormat/>
    <w:uiPriority w:val="99"/>
  </w:style>
  <w:style w:type="paragraph" w:customStyle="1" w:styleId="87">
    <w:name w:val="Table Text"/>
    <w:qFormat/>
    <w:uiPriority w:val="0"/>
    <w:pPr>
      <w:snapToGrid w:val="0"/>
      <w:spacing w:beforeLines="50" w:after="80"/>
      <w:jc w:val="center"/>
    </w:pPr>
    <w:rPr>
      <w:rFonts w:ascii="仿宋_GB2312" w:hAnsi="宋体" w:eastAsia="仿宋_GB2312" w:cs="Times New Roman"/>
      <w:sz w:val="24"/>
      <w:lang w:val="en-US" w:eastAsia="zh-CN" w:bidi="ar-SA"/>
    </w:rPr>
  </w:style>
  <w:style w:type="paragraph" w:customStyle="1" w:styleId="88">
    <w:name w:val="标书正文格式"/>
    <w:qFormat/>
    <w:uiPriority w:val="0"/>
    <w:pPr>
      <w:spacing w:line="360" w:lineRule="auto"/>
      <w:ind w:firstLine="200" w:firstLineChars="200"/>
    </w:pPr>
    <w:rPr>
      <w:rFonts w:ascii="Calibri" w:hAnsi="Calibri" w:eastAsia="楷体_GB2312" w:cs="Times New Roman"/>
      <w:kern w:val="2"/>
      <w:sz w:val="24"/>
      <w:szCs w:val="24"/>
      <w:lang w:val="en-US" w:eastAsia="zh-CN" w:bidi="ar-SA"/>
    </w:rPr>
  </w:style>
  <w:style w:type="character" w:customStyle="1" w:styleId="89">
    <w:name w:val="批注框文本 Char"/>
    <w:basedOn w:val="41"/>
    <w:link w:val="22"/>
    <w:semiHidden/>
    <w:qFormat/>
    <w:uiPriority w:val="0"/>
    <w:rPr>
      <w:rFonts w:ascii="Calibri" w:hAnsi="Calibri" w:eastAsia="宋体" w:cs="Times New Roman"/>
      <w:sz w:val="18"/>
      <w:szCs w:val="18"/>
    </w:rPr>
  </w:style>
  <w:style w:type="character" w:customStyle="1" w:styleId="90">
    <w:name w:val="正文文本 Char1"/>
    <w:basedOn w:val="41"/>
    <w:link w:val="2"/>
    <w:semiHidden/>
    <w:qFormat/>
    <w:uiPriority w:val="99"/>
  </w:style>
  <w:style w:type="character" w:customStyle="1" w:styleId="91">
    <w:name w:val="日期 Char"/>
    <w:basedOn w:val="41"/>
    <w:link w:val="20"/>
    <w:qFormat/>
    <w:uiPriority w:val="0"/>
    <w:rPr>
      <w:rFonts w:ascii="Calibri" w:hAnsi="Calibri" w:eastAsia="宋体" w:cs="Times New Roman"/>
      <w:sz w:val="24"/>
      <w:szCs w:val="20"/>
    </w:rPr>
  </w:style>
  <w:style w:type="paragraph" w:customStyle="1" w:styleId="92">
    <w:name w:val="BioQuote Tekst"/>
    <w:basedOn w:val="1"/>
    <w:qFormat/>
    <w:uiPriority w:val="0"/>
    <w:pPr>
      <w:ind w:right="-1"/>
    </w:pPr>
    <w:rPr>
      <w:rFonts w:ascii="Arial" w:hAnsi="Arial" w:eastAsia="宋体" w:cs="Times New Roman"/>
      <w:snapToGrid w:val="0"/>
      <w:kern w:val="0"/>
      <w:sz w:val="22"/>
      <w:szCs w:val="20"/>
      <w:lang w:eastAsia="en-US"/>
    </w:rPr>
  </w:style>
  <w:style w:type="character" w:customStyle="1" w:styleId="93">
    <w:name w:val="批注主题 Char1"/>
    <w:basedOn w:val="84"/>
    <w:link w:val="37"/>
    <w:semiHidden/>
    <w:qFormat/>
    <w:uiPriority w:val="99"/>
    <w:rPr>
      <w:b/>
      <w:bCs/>
    </w:rPr>
  </w:style>
  <w:style w:type="character" w:customStyle="1" w:styleId="94">
    <w:name w:val="正文文本 3 Char"/>
    <w:basedOn w:val="41"/>
    <w:link w:val="13"/>
    <w:qFormat/>
    <w:uiPriority w:val="0"/>
    <w:rPr>
      <w:rFonts w:ascii="仿宋_GB2312" w:hAnsi="Arial" w:eastAsia="仿宋_GB2312" w:cs="Times New Roman"/>
      <w:sz w:val="32"/>
      <w:szCs w:val="20"/>
    </w:rPr>
  </w:style>
  <w:style w:type="paragraph" w:customStyle="1" w:styleId="95">
    <w:name w:val="Char Char Char Char"/>
    <w:basedOn w:val="11"/>
    <w:qFormat/>
    <w:uiPriority w:val="0"/>
    <w:pPr>
      <w:adjustRightInd w:val="0"/>
      <w:snapToGrid w:val="0"/>
      <w:spacing w:line="360" w:lineRule="auto"/>
    </w:pPr>
    <w:rPr>
      <w:rFonts w:ascii="Tahoma" w:hAnsi="Tahoma"/>
      <w:sz w:val="24"/>
    </w:rPr>
  </w:style>
  <w:style w:type="paragraph" w:customStyle="1" w:styleId="96">
    <w:name w:val="标题2"/>
    <w:basedOn w:val="1"/>
    <w:next w:val="1"/>
    <w:qFormat/>
    <w:uiPriority w:val="0"/>
    <w:pPr>
      <w:jc w:val="center"/>
    </w:pPr>
    <w:rPr>
      <w:rFonts w:ascii="Calibri" w:hAnsi="Calibri" w:eastAsia="方正楷体_GBK" w:cs="Times New Roman"/>
      <w:szCs w:val="24"/>
    </w:rPr>
  </w:style>
  <w:style w:type="character" w:customStyle="1" w:styleId="97">
    <w:name w:val="正文首行缩进 2 Char"/>
    <w:basedOn w:val="86"/>
    <w:link w:val="38"/>
    <w:qFormat/>
    <w:uiPriority w:val="0"/>
    <w:rPr>
      <w:kern w:val="0"/>
      <w:sz w:val="20"/>
      <w:szCs w:val="20"/>
    </w:rPr>
  </w:style>
  <w:style w:type="character" w:customStyle="1" w:styleId="98">
    <w:name w:val="HTML 预设格式 Char"/>
    <w:basedOn w:val="41"/>
    <w:link w:val="33"/>
    <w:qFormat/>
    <w:uiPriority w:val="0"/>
    <w:rPr>
      <w:rFonts w:ascii="黑体" w:hAnsi="Courier New" w:eastAsia="黑体" w:cs="Courier New"/>
      <w:kern w:val="0"/>
      <w:sz w:val="20"/>
      <w:szCs w:val="20"/>
    </w:rPr>
  </w:style>
  <w:style w:type="paragraph" w:customStyle="1" w:styleId="99">
    <w:name w:val="Char"/>
    <w:basedOn w:val="1"/>
    <w:qFormat/>
    <w:uiPriority w:val="0"/>
    <w:rPr>
      <w:rFonts w:ascii="Tahoma" w:hAnsi="Tahoma" w:eastAsia="宋体" w:cs="Times New Roman"/>
      <w:snapToGrid w:val="0"/>
      <w:sz w:val="24"/>
      <w:szCs w:val="20"/>
    </w:rPr>
  </w:style>
  <w:style w:type="paragraph" w:customStyle="1" w:styleId="100">
    <w:name w:val="Char Char Char Char1 Char Char Char"/>
    <w:basedOn w:val="11"/>
    <w:qFormat/>
    <w:uiPriority w:val="0"/>
    <w:pPr>
      <w:adjustRightInd w:val="0"/>
      <w:snapToGrid w:val="0"/>
      <w:spacing w:line="360" w:lineRule="auto"/>
    </w:pPr>
    <w:rPr>
      <w:rFonts w:ascii="Tahoma" w:hAnsi="Tahoma"/>
      <w:sz w:val="24"/>
    </w:rPr>
  </w:style>
  <w:style w:type="paragraph" w:customStyle="1" w:styleId="101">
    <w:name w:val="列出段落1"/>
    <w:basedOn w:val="1"/>
    <w:qFormat/>
    <w:uiPriority w:val="0"/>
    <w:pPr>
      <w:ind w:firstLine="200" w:firstLineChars="200"/>
    </w:pPr>
    <w:rPr>
      <w:rFonts w:ascii="Calibri" w:hAnsi="Calibri" w:eastAsia="宋体" w:cs="Times New Roman"/>
      <w:szCs w:val="21"/>
    </w:rPr>
  </w:style>
  <w:style w:type="paragraph" w:customStyle="1" w:styleId="102">
    <w:name w:val="Char1"/>
    <w:basedOn w:val="1"/>
    <w:qFormat/>
    <w:uiPriority w:val="0"/>
    <w:pPr>
      <w:tabs>
        <w:tab w:val="left" w:pos="360"/>
      </w:tabs>
      <w:jc w:val="left"/>
    </w:pPr>
    <w:rPr>
      <w:rFonts w:ascii="Calibri" w:hAnsi="Calibri" w:eastAsia="宋体" w:cs="Times New Roman"/>
      <w:sz w:val="24"/>
      <w:szCs w:val="24"/>
    </w:rPr>
  </w:style>
  <w:style w:type="character" w:customStyle="1" w:styleId="103">
    <w:name w:val="纯文本 Char"/>
    <w:basedOn w:val="41"/>
    <w:link w:val="17"/>
    <w:qFormat/>
    <w:uiPriority w:val="0"/>
    <w:rPr>
      <w:rFonts w:ascii="宋体" w:hAnsi="Courier New" w:eastAsia="宋体" w:cs="Times New Roman"/>
      <w:szCs w:val="20"/>
    </w:rPr>
  </w:style>
  <w:style w:type="character" w:customStyle="1" w:styleId="104">
    <w:name w:val="文档结构图 Char"/>
    <w:basedOn w:val="41"/>
    <w:link w:val="11"/>
    <w:semiHidden/>
    <w:qFormat/>
    <w:uiPriority w:val="0"/>
    <w:rPr>
      <w:rFonts w:ascii="Calibri" w:hAnsi="Calibri" w:eastAsia="宋体" w:cs="Times New Roman"/>
      <w:szCs w:val="24"/>
      <w:shd w:val="clear" w:color="auto" w:fill="000080"/>
    </w:rPr>
  </w:style>
  <w:style w:type="paragraph" w:customStyle="1" w:styleId="105">
    <w:name w:val="TOC 标题1"/>
    <w:basedOn w:val="3"/>
    <w:next w:val="1"/>
    <w:unhideWhenUsed/>
    <w:qFormat/>
    <w:uiPriority w:val="39"/>
    <w:pPr>
      <w:keepLines/>
      <w:widowControl/>
      <w:spacing w:before="480" w:line="276" w:lineRule="auto"/>
      <w:jc w:val="left"/>
      <w:outlineLvl w:val="9"/>
    </w:pPr>
    <w:rPr>
      <w:rFonts w:ascii="Cambria" w:hAnsi="Cambria" w:eastAsia="宋体"/>
      <w:b/>
      <w:bCs/>
      <w:color w:val="366091"/>
      <w:kern w:val="0"/>
      <w:szCs w:val="28"/>
    </w:rPr>
  </w:style>
  <w:style w:type="paragraph" w:customStyle="1" w:styleId="106">
    <w:name w:val="HTML 预先格式化"/>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Times New Roman"/>
      <w:kern w:val="0"/>
      <w:sz w:val="20"/>
      <w:szCs w:val="20"/>
    </w:rPr>
  </w:style>
  <w:style w:type="character" w:customStyle="1" w:styleId="107">
    <w:name w:val="正文文本缩进 3 Char"/>
    <w:basedOn w:val="41"/>
    <w:link w:val="29"/>
    <w:qFormat/>
    <w:uiPriority w:val="0"/>
    <w:rPr>
      <w:rFonts w:ascii="仿宋_GB2312" w:hAnsi="宋体" w:eastAsia="仿宋_GB2312" w:cs="Times New Roman"/>
      <w:sz w:val="24"/>
      <w:szCs w:val="24"/>
    </w:rPr>
  </w:style>
  <w:style w:type="paragraph" w:customStyle="1" w:styleId="108">
    <w:name w:val="普通正文"/>
    <w:basedOn w:val="1"/>
    <w:qFormat/>
    <w:uiPriority w:val="0"/>
    <w:pPr>
      <w:adjustRightInd w:val="0"/>
      <w:spacing w:before="120" w:after="120" w:line="360" w:lineRule="auto"/>
      <w:ind w:firstLine="480"/>
      <w:jc w:val="left"/>
      <w:textAlignment w:val="baseline"/>
    </w:pPr>
    <w:rPr>
      <w:rFonts w:ascii="Arial" w:hAnsi="Arial" w:eastAsia="宋体" w:cs="Times New Roman"/>
      <w:kern w:val="0"/>
      <w:sz w:val="24"/>
      <w:szCs w:val="24"/>
    </w:rPr>
  </w:style>
  <w:style w:type="paragraph" w:customStyle="1" w:styleId="109">
    <w:name w:val="paragraphinden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10">
    <w:name w:val="_Style 2"/>
    <w:basedOn w:val="1"/>
    <w:qFormat/>
    <w:uiPriority w:val="34"/>
    <w:pPr>
      <w:ind w:firstLine="420" w:firstLineChars="200"/>
    </w:pPr>
    <w:rPr>
      <w:rFonts w:ascii="Calibri" w:hAnsi="Calibri" w:eastAsia="宋体" w:cs="Times New Roman"/>
      <w:szCs w:val="24"/>
    </w:rPr>
  </w:style>
  <w:style w:type="paragraph" w:customStyle="1" w:styleId="111">
    <w:name w:val="xl47"/>
    <w:basedOn w:val="1"/>
    <w:qFormat/>
    <w:uiPriority w:val="0"/>
    <w:pPr>
      <w:widowControl/>
      <w:spacing w:before="100" w:beforeAutospacing="1" w:after="100" w:afterAutospacing="1"/>
      <w:jc w:val="center"/>
    </w:pPr>
    <w:rPr>
      <w:rFonts w:hint="eastAsia" w:ascii="方正姚体" w:hAnsi="宋体" w:eastAsia="方正姚体" w:cs="Times New Roman"/>
      <w:b/>
      <w:bCs/>
      <w:kern w:val="0"/>
      <w:sz w:val="36"/>
      <w:szCs w:val="36"/>
    </w:rPr>
  </w:style>
  <w:style w:type="paragraph" w:customStyle="1" w:styleId="112">
    <w:name w:val="Coms Alinea"/>
    <w:qFormat/>
    <w:uiPriority w:val="0"/>
    <w:pPr>
      <w:widowControl w:val="0"/>
    </w:pPr>
    <w:rPr>
      <w:rFonts w:ascii="Arial" w:hAnsi="Arial" w:eastAsia="宋体" w:cs="Arial"/>
      <w:lang w:val="en-US" w:eastAsia="zh-CN" w:bidi="ar-SA"/>
    </w:rPr>
  </w:style>
  <w:style w:type="paragraph" w:customStyle="1" w:styleId="113">
    <w:name w:val="附录1"/>
    <w:qFormat/>
    <w:uiPriority w:val="0"/>
    <w:pPr>
      <w:tabs>
        <w:tab w:val="left" w:pos="907"/>
      </w:tabs>
      <w:snapToGrid w:val="0"/>
      <w:spacing w:before="240" w:line="600" w:lineRule="atLeast"/>
      <w:ind w:left="907" w:hanging="907"/>
    </w:pPr>
    <w:rPr>
      <w:rFonts w:ascii="Calibri" w:hAnsi="Calibri" w:eastAsia="宋体" w:cs="Times New Roman"/>
      <w:b/>
      <w:i/>
      <w:sz w:val="28"/>
      <w:lang w:val="en-US" w:eastAsia="zh-CN" w:bidi="ar-SA"/>
    </w:rPr>
  </w:style>
  <w:style w:type="paragraph" w:customStyle="1" w:styleId="114">
    <w:name w:val="Char Char Char Char1 Char Char"/>
    <w:basedOn w:val="1"/>
    <w:qFormat/>
    <w:uiPriority w:val="0"/>
    <w:pPr>
      <w:tabs>
        <w:tab w:val="left" w:pos="360"/>
      </w:tabs>
    </w:pPr>
    <w:rPr>
      <w:rFonts w:ascii="Calibri" w:hAnsi="Calibri" w:eastAsia="宋体" w:cs="Times New Roman"/>
      <w:sz w:val="24"/>
      <w:szCs w:val="24"/>
    </w:rPr>
  </w:style>
  <w:style w:type="paragraph" w:customStyle="1" w:styleId="115">
    <w:name w:val="默认段落字体 Para Char Char Char Char Char Char Char Char Char1 Char Char Char Char Char Char Char"/>
    <w:basedOn w:val="11"/>
    <w:qFormat/>
    <w:uiPriority w:val="0"/>
    <w:rPr>
      <w:rFonts w:ascii="Tahoma" w:hAnsi="Tahoma"/>
      <w:sz w:val="24"/>
    </w:rPr>
  </w:style>
  <w:style w:type="paragraph" w:customStyle="1" w:styleId="116">
    <w:name w:val="标题1"/>
    <w:basedOn w:val="1"/>
    <w:next w:val="1"/>
    <w:qFormat/>
    <w:uiPriority w:val="0"/>
    <w:pPr>
      <w:tabs>
        <w:tab w:val="left" w:pos="9193"/>
        <w:tab w:val="left" w:pos="9827"/>
      </w:tabs>
      <w:spacing w:line="700" w:lineRule="atLeast"/>
      <w:jc w:val="center"/>
    </w:pPr>
    <w:rPr>
      <w:rFonts w:ascii="Calibri" w:hAnsi="Calibri" w:eastAsia="方正小标宋_GBK" w:cs="Times New Roman"/>
      <w:sz w:val="44"/>
      <w:szCs w:val="24"/>
    </w:rPr>
  </w:style>
  <w:style w:type="paragraph" w:customStyle="1" w:styleId="117">
    <w:name w:val="从CC出差"/>
    <w:basedOn w:val="1"/>
    <w:qFormat/>
    <w:uiPriority w:val="0"/>
    <w:rPr>
      <w:rFonts w:ascii="宋体" w:hAnsi="宋体" w:eastAsia="宋体" w:cs="Times New Roman"/>
      <w:b/>
      <w:sz w:val="24"/>
      <w:szCs w:val="24"/>
    </w:rPr>
  </w:style>
  <w:style w:type="paragraph" w:customStyle="1" w:styleId="118">
    <w:name w:val="标题3"/>
    <w:basedOn w:val="1"/>
    <w:next w:val="1"/>
    <w:qFormat/>
    <w:uiPriority w:val="0"/>
    <w:rPr>
      <w:rFonts w:ascii="Calibri" w:hAnsi="Calibri" w:eastAsia="方正黑体_GBK" w:cs="Times New Roman"/>
      <w:szCs w:val="24"/>
    </w:rPr>
  </w:style>
  <w:style w:type="paragraph" w:customStyle="1" w:styleId="119">
    <w:name w:val="_Style 3"/>
    <w:basedOn w:val="1"/>
    <w:qFormat/>
    <w:uiPriority w:val="34"/>
    <w:pPr>
      <w:ind w:firstLine="420" w:firstLineChars="200"/>
    </w:pPr>
    <w:rPr>
      <w:rFonts w:ascii="Calibri" w:hAnsi="Calibri" w:eastAsia="宋体" w:cs="Times New Roman"/>
      <w:szCs w:val="24"/>
    </w:rPr>
  </w:style>
  <w:style w:type="paragraph" w:customStyle="1" w:styleId="120">
    <w:name w:val="Heading 3"/>
    <w:basedOn w:val="1"/>
    <w:qFormat/>
    <w:uiPriority w:val="1"/>
    <w:pPr>
      <w:autoSpaceDE w:val="0"/>
      <w:autoSpaceDN w:val="0"/>
      <w:ind w:left="821"/>
      <w:jc w:val="left"/>
      <w:outlineLvl w:val="3"/>
    </w:pPr>
    <w:rPr>
      <w:rFonts w:ascii="仿宋" w:hAnsi="仿宋" w:eastAsia="仿宋" w:cs="仿宋"/>
      <w:b/>
      <w:bCs/>
      <w:kern w:val="0"/>
      <w:sz w:val="28"/>
      <w:szCs w:val="28"/>
      <w:lang w:val="zh-CN" w:bidi="zh-CN"/>
    </w:rPr>
  </w:style>
  <w:style w:type="paragraph" w:customStyle="1" w:styleId="121">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22">
    <w:name w:val="font31"/>
    <w:basedOn w:val="41"/>
    <w:qFormat/>
    <w:uiPriority w:val="0"/>
    <w:rPr>
      <w:rFonts w:hint="eastAsia" w:ascii="宋体" w:hAnsi="宋体" w:eastAsia="宋体" w:cs="宋体"/>
      <w:color w:val="000000"/>
      <w:sz w:val="18"/>
      <w:szCs w:val="18"/>
      <w:u w:val="none"/>
    </w:rPr>
  </w:style>
  <w:style w:type="character" w:customStyle="1" w:styleId="123">
    <w:name w:val="font21"/>
    <w:basedOn w:val="41"/>
    <w:qFormat/>
    <w:uiPriority w:val="0"/>
    <w:rPr>
      <w:rFonts w:ascii="仿宋" w:hAnsi="仿宋" w:eastAsia="仿宋" w:cs="仿宋"/>
      <w:color w:val="000000"/>
      <w:sz w:val="18"/>
      <w:szCs w:val="18"/>
      <w:u w:val="none"/>
    </w:rPr>
  </w:style>
  <w:style w:type="character" w:customStyle="1" w:styleId="124">
    <w:name w:val="font11"/>
    <w:basedOn w:val="41"/>
    <w:qFormat/>
    <w:uiPriority w:val="0"/>
    <w:rPr>
      <w:rFonts w:ascii="微软雅黑" w:hAnsi="微软雅黑" w:eastAsia="微软雅黑" w:cs="微软雅黑"/>
      <w:color w:val="000000"/>
      <w:sz w:val="18"/>
      <w:szCs w:val="18"/>
      <w:u w:val="none"/>
    </w:rPr>
  </w:style>
  <w:style w:type="character" w:customStyle="1" w:styleId="125">
    <w:name w:val="font101"/>
    <w:basedOn w:val="41"/>
    <w:qFormat/>
    <w:uiPriority w:val="0"/>
    <w:rPr>
      <w:rFonts w:hint="eastAsia" w:ascii="宋体" w:hAnsi="宋体" w:eastAsia="宋体" w:cs="宋体"/>
      <w:color w:val="000000"/>
      <w:sz w:val="20"/>
      <w:szCs w:val="20"/>
      <w:u w:val="none"/>
    </w:rPr>
  </w:style>
  <w:style w:type="paragraph" w:customStyle="1" w:styleId="126">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27">
    <w:name w:val="font71"/>
    <w:basedOn w:val="41"/>
    <w:qFormat/>
    <w:uiPriority w:val="0"/>
    <w:rPr>
      <w:rFonts w:hint="eastAsia" w:ascii="宋体" w:hAnsi="宋体" w:eastAsia="宋体" w:cs="宋体"/>
      <w:color w:val="000000"/>
      <w:sz w:val="18"/>
      <w:szCs w:val="18"/>
      <w:u w:val="none"/>
    </w:rPr>
  </w:style>
  <w:style w:type="character" w:customStyle="1" w:styleId="128">
    <w:name w:val="font131"/>
    <w:basedOn w:val="41"/>
    <w:qFormat/>
    <w:uiPriority w:val="0"/>
    <w:rPr>
      <w:rFonts w:hint="eastAsia" w:ascii="微软雅黑" w:hAnsi="微软雅黑" w:eastAsia="微软雅黑" w:cs="微软雅黑"/>
      <w:color w:val="000000"/>
      <w:sz w:val="18"/>
      <w:szCs w:val="18"/>
      <w:u w:val="none"/>
    </w:rPr>
  </w:style>
  <w:style w:type="character" w:customStyle="1" w:styleId="129">
    <w:name w:val="font61"/>
    <w:basedOn w:val="41"/>
    <w:qFormat/>
    <w:uiPriority w:val="0"/>
    <w:rPr>
      <w:rFonts w:hint="eastAsia" w:ascii="宋体" w:hAnsi="宋体" w:eastAsia="宋体" w:cs="宋体"/>
      <w:color w:val="000000"/>
      <w:sz w:val="18"/>
      <w:szCs w:val="18"/>
      <w:u w:val="none"/>
    </w:rPr>
  </w:style>
  <w:style w:type="character" w:customStyle="1" w:styleId="130">
    <w:name w:val="font81"/>
    <w:basedOn w:val="41"/>
    <w:qFormat/>
    <w:uiPriority w:val="0"/>
    <w:rPr>
      <w:rFonts w:hint="eastAsia" w:ascii="仿宋" w:hAnsi="仿宋" w:eastAsia="仿宋" w:cs="仿宋"/>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2.jpeg"/><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30</Pages>
  <Words>12880</Words>
  <Characters>1651</Characters>
  <Lines>75</Lines>
  <Paragraphs>427</Paragraphs>
  <TotalTime>0</TotalTime>
  <ScaleCrop>false</ScaleCrop>
  <LinksUpToDate>false</LinksUpToDate>
  <CharactersWithSpaces>14104</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2020-09-08T05:35:00Z</dcterms:created>
  <dc:creator>pc</dc:creator>
  <cp:lastModifiedBy>pc</cp:lastModifiedBy>
  <dcterms:modified xsi:type="dcterms:W3CDTF">2021-11-01T08:14:00Z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8556D192EC844C4CB425E814970157A0</vt:lpwstr>
  </property>
</Properties>
</file>